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4954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495490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Young Joseph R</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Vera Therapeutics,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VERA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900" w:type="dxa"/>
            <w:vAlign w:val="bottom"/>
            <w:tcBorders>
              <w:top w:val="single" w:sz="8" w:color="0000EE"/>
            </w:tcBorders>
          </w:tcPr>
          <w:p>
            <w:pPr>
              <w:spacing w:after="0"/>
              <w:rPr>
                <w:sz w:val="4"/>
                <w:szCs w:val="4"/>
                <w:color w:val="auto"/>
              </w:rPr>
            </w:pPr>
          </w:p>
        </w:tc>
        <w:tc>
          <w:tcPr>
            <w:tcW w:w="1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110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VERA THERAPEUTICS, INC.</w:t>
            </w:r>
          </w:p>
        </w:tc>
        <w:tc>
          <w:tcPr>
            <w:tcW w:w="20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02/04/2026</w:t>
            </w: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66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8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2000 SIERRA POINT PARKWAY, SUITE 1200</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0"/>
          <w:szCs w:val="20"/>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0"/>
          <w:szCs w:val="20"/>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0000FF"/>
        </w:rPr>
        <w:t>SVP, FINANCE, CHIEF ACCT OFFCR</w:t>
      </w:r>
    </w:p>
    <w:p>
      <w:pPr>
        <w:spacing w:after="0" w:line="407" w:lineRule="exact"/>
        <w:rPr>
          <w:sz w:val="20"/>
          <w:szCs w:val="20"/>
          <w:color w:val="auto"/>
        </w:rPr>
      </w:pPr>
    </w:p>
    <w:p>
      <w:pPr>
        <w:sectPr>
          <w:pgSz w:w="11900" w:h="16838" w:orient="portrait"/>
          <w:cols w:equalWidth="0" w:num="2">
            <w:col w:w="7680" w:space="6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9"/>
          </w:tcPr>
          <w:p>
            <w:pPr>
              <w:jc w:val="center"/>
              <w:ind w:right="34"/>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BRISBANE</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94005</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6"/>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02/04/2026</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10,000</w:t>
            </w:r>
            <w:r>
              <w:rPr>
                <w:rFonts w:ascii="Times New Roman" w:cs="Times New Roman" w:eastAsia="Times New Roman" w:hAnsi="Times New Roman"/>
                <w:sz w:val="21"/>
                <w:szCs w:val="21"/>
                <w:color w:val="008000"/>
                <w:w w:val="91"/>
                <w:vertAlign w:val="superscript"/>
              </w:rPr>
              <w:t>(1)</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67,839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5"/>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3"/>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40" w:type="dxa"/>
            <w:vAlign w:val="bottom"/>
            <w:vMerge w:val="restart"/>
          </w:tcPr>
          <w:p>
            <w:pPr>
              <w:jc w:val="right"/>
              <w:ind w:right="16"/>
              <w:spacing w:after="0"/>
              <w:rPr>
                <w:sz w:val="20"/>
                <w:szCs w:val="20"/>
                <w:color w:val="auto"/>
              </w:rPr>
            </w:pPr>
            <w:r>
              <w:rPr>
                <w:rFonts w:ascii="Times New Roman" w:cs="Times New Roman" w:eastAsia="Times New Roman" w:hAnsi="Times New Roman"/>
                <w:sz w:val="17"/>
                <w:szCs w:val="17"/>
                <w:color w:val="0000FF"/>
                <w:w w:val="94"/>
              </w:rPr>
              <w:t>20,000</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42.74</w:t>
            </w:r>
          </w:p>
        </w:tc>
        <w:tc>
          <w:tcPr>
            <w:tcW w:w="140" w:type="dxa"/>
            <w:vAlign w:val="bottom"/>
          </w:tcPr>
          <w:p>
            <w:pPr>
              <w:spacing w:after="0"/>
              <w:rPr>
                <w:sz w:val="6"/>
                <w:szCs w:val="6"/>
                <w:color w:val="auto"/>
              </w:rPr>
            </w:pPr>
          </w:p>
        </w:tc>
        <w:tc>
          <w:tcPr>
            <w:tcW w:w="1040" w:type="dxa"/>
            <w:vAlign w:val="bottom"/>
            <w:vMerge w:val="restart"/>
          </w:tcPr>
          <w:p>
            <w:pPr>
              <w:ind w:left="260"/>
              <w:spacing w:after="0" w:line="142" w:lineRule="exact"/>
              <w:rPr>
                <w:sz w:val="20"/>
                <w:szCs w:val="20"/>
                <w:color w:val="auto"/>
              </w:rPr>
            </w:pPr>
            <w:r>
              <w:rPr>
                <w:rFonts w:ascii="Times New Roman" w:cs="Times New Roman" w:eastAsia="Times New Roman" w:hAnsi="Times New Roman"/>
                <w:sz w:val="13"/>
                <w:szCs w:val="13"/>
                <w:color w:val="0000FF"/>
              </w:rPr>
              <w:t>02/04/2026</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20,000</w:t>
            </w: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gridSpan w:val="2"/>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02/03/2036</w:t>
            </w: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40"/>
              <w:spacing w:after="0" w:line="142" w:lineRule="exact"/>
              <w:rPr>
                <w:sz w:val="20"/>
                <w:szCs w:val="20"/>
                <w:color w:val="auto"/>
              </w:rPr>
            </w:pPr>
            <w:r>
              <w:rPr>
                <w:rFonts w:ascii="Times New Roman" w:cs="Times New Roman" w:eastAsia="Times New Roman" w:hAnsi="Times New Roman"/>
                <w:sz w:val="13"/>
                <w:szCs w:val="13"/>
                <w:color w:val="0000FF"/>
                <w:w w:val="94"/>
              </w:rPr>
              <w:t>20,000</w:t>
            </w:r>
          </w:p>
        </w:tc>
        <w:tc>
          <w:tcPr>
            <w:tcW w:w="280" w:type="dxa"/>
            <w:vAlign w:val="bottom"/>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vMerge w:val="restart"/>
          </w:tcPr>
          <w:p>
            <w:pPr>
              <w:jc w:val="center"/>
              <w:ind w:right="154"/>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-2099945</wp:posOffset>
            </wp:positionV>
            <wp:extent cx="29210" cy="21050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0502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52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Class A Common Stock underlying the restricted stock units ("RSUs") granted under the Issuer's 2021 Equity Incentive Plan. One-fourth of the RSUs, rounded to the nearest whole share, vest on each of February 20, 2027, 2028, 2029 and 2030, subject to the Reporting Person's continuous service through each vesting date.</w:t>
      </w:r>
    </w:p>
    <w:p>
      <w:pPr>
        <w:spacing w:after="0" w:line="17" w:lineRule="exact"/>
        <w:rPr>
          <w:rFonts w:ascii="Times New Roman" w:cs="Times New Roman" w:eastAsia="Times New Roman" w:hAnsi="Times New Roman"/>
          <w:sz w:val="13"/>
          <w:szCs w:val="13"/>
          <w:color w:val="008000"/>
        </w:rPr>
      </w:pPr>
    </w:p>
    <w:p>
      <w:pPr>
        <w:ind w:left="40" w:right="30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1/48th of the shares subject to the stock option will vest and become exercisable on March 4, 2026, and 1/48th of the shares subject to the stock option will vest and become exercisable monthly on the same day of each month thereafter, subject to the Reporting Person's continuous service through each vesting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Joseph R. Young</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02/06/2026</w:t>
            </w:r>
          </w:p>
        </w:tc>
      </w:tr>
      <w:tr>
        <w:trPr>
          <w:trHeight w:val="20"/>
        </w:trPr>
        <w:tc>
          <w:tcPr>
            <w:tcW w:w="13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1684" TargetMode="External"/><Relationship Id="rId14" Type="http://schemas.openxmlformats.org/officeDocument/2006/relationships/hyperlink" Target="http://www.sec.gov/cgi-bin/browse-edgar?action=getcompany&amp;CIK=00018318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2026-02-06T19:03:10Z</dcterms:created>
  <dcterms:modified xsi:type="dcterms:W3CDTF">2026-02-06T19:03:10Z</dcterms:modified>
</cp:coreProperties>
</file>