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12.gif" ContentType="image/gif"/>
  <Override PartName="/word/media/image10.gif" ContentType="image/gif"/>
  <Override PartName="/word/media/image16.jpeg" ContentType="image/jpeg"/>
  <Override PartName="/word/media/image15.jpeg" ContentType="image/jpeg"/>
  <Override PartName="/word/media/image9.gif" ContentType="image/gif"/>
  <Override PartName="/word/media/image14.jpeg" ContentType="image/jpeg"/>
  <Override PartName="/word/media/image1.jpeg" ContentType="image/jpeg"/>
  <Override PartName="/word/media/image2.gif" ContentType="image/gif"/>
  <Override PartName="/word/media/image7.jpeg" ContentType="image/jpeg"/>
  <Override PartName="/word/media/image3.gif" ContentType="image/gif"/>
  <Override PartName="/word/media/image4.jpeg" ContentType="image/jpeg"/>
  <Override PartName="/word/media/image8.gif" ContentType="image/gif"/>
  <Override PartName="/word/media/image5.jpeg" ContentType="image/jpeg"/>
  <Override PartName="/word/media/image11.gif" ContentType="image/gif"/>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rFonts w:ascii="Times New Roman" w:hAnsi="Times New Roman"/>
          <w:color w:val="000000"/>
          <w:sz w:val="12"/>
        </w:rPr>
      </w:pPr>
      <w:bookmarkStart w:id="0" w:name="vera-20251231.htm"/>
      <w:bookmarkStart w:id="1" w:name="ksvera20251231"/>
      <w:bookmarkEnd w:id="0"/>
      <w:bookmarkEnd w:id="1"/>
      <w:r>
        <w:rPr>
          <w:rFonts w:ascii="Times New Roman" w:hAnsi="Times New Roman"/>
          <w:color w:val="000000"/>
          <w:sz w:val="12"/>
        </w:rPr>
        <w:t>.</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001-40407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Vera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652" w:type="dxa"/>
        <w:jc w:val="left"/>
        <w:tblInd w:w="0" w:type="dxa"/>
        <w:tblLayout w:type="fixed"/>
        <w:tblCellMar>
          <w:top w:w="28" w:type="dxa"/>
          <w:left w:w="28" w:type="dxa"/>
          <w:bottom w:w="28" w:type="dxa"/>
          <w:right w:w="28" w:type="dxa"/>
        </w:tblCellMar>
      </w:tblPr>
      <w:tblGrid>
        <w:gridCol w:w="3406"/>
        <w:gridCol w:w="1246"/>
      </w:tblGrid>
      <w:tr>
        <w:trPr/>
        <w:tc>
          <w:tcPr>
            <w:tcW w:w="34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81-2744449</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40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Sierra Point Parkway, Suite 1200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Brisbane,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(650) 770-0077</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080" w:type="dxa"/>
        <w:jc w:val="left"/>
        <w:tblInd w:w="0" w:type="dxa"/>
        <w:tblLayout w:type="fixed"/>
        <w:tblCellMar>
          <w:top w:w="28" w:type="dxa"/>
          <w:left w:w="28" w:type="dxa"/>
          <w:bottom w:w="28" w:type="dxa"/>
          <w:right w:w="28" w:type="dxa"/>
        </w:tblCellMar>
      </w:tblPr>
      <w:tblGrid>
        <w:gridCol w:w="3646"/>
        <w:gridCol w:w="146"/>
        <w:gridCol w:w="826"/>
        <w:gridCol w:w="146"/>
        <w:gridCol w:w="3316"/>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VERA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16"/>
        </w:rPr>
        <w:t xml:space="preserve">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Registrant’s Class A common stock held by non-affiliates of the Registrant as of June 30, 2025, the last business day of the Registrant’s most recently completed second fiscal quarter, was approximately $1.3</w:t>
      </w:r>
      <w:r>
        <w:rPr>
          <w:rFonts w:ascii="Times New Roman" w:hAnsi="Times New Roman"/>
          <w:color w:val="000000"/>
          <w:sz w:val="20"/>
        </w:rPr>
        <w:t xml:space="preserve"> </w:t>
      </w:r>
      <w:r>
        <w:rPr>
          <w:rFonts w:ascii="Times New Roman" w:hAnsi="Times New Roman"/>
          <w:color w:val="000000"/>
          <w:sz w:val="16"/>
        </w:rPr>
        <w:t>billion based on the closing price of the Registrant’s Class A common stock on the Nasdaq Global Select Market of $23.56 per share.</w:t>
      </w:r>
    </w:p>
    <w:p>
      <w:pPr>
        <w:pStyle w:val="TextBody"/>
        <w:bidi w:val="0"/>
        <w:spacing w:before="140" w:after="283"/>
        <w:jc w:val="left"/>
        <w:rPr>
          <w:rFonts w:ascii="Times New Roman" w:hAnsi="Times New Roman"/>
          <w:sz w:val="20"/>
        </w:rPr>
      </w:pPr>
      <w:r>
        <w:rPr>
          <w:rFonts w:ascii="Times New Roman" w:hAnsi="Times New Roman"/>
          <w:color w:val="000000"/>
          <w:sz w:val="16"/>
        </w:rPr>
        <w:t>As of February 23, 2026</w:t>
      </w:r>
      <w:r>
        <w:rPr>
          <w:rFonts w:ascii="Times New Roman" w:hAnsi="Times New Roman"/>
          <w:color w:val="404040"/>
          <w:sz w:val="16"/>
        </w:rPr>
        <w:t xml:space="preserve">, </w:t>
      </w:r>
      <w:r>
        <w:rPr>
          <w:rFonts w:ascii="Times New Roman" w:hAnsi="Times New Roman"/>
          <w:color w:val="000000"/>
          <w:sz w:val="16"/>
        </w:rPr>
        <w:t>the registrant had 71,355,667</w:t>
      </w:r>
      <w:r>
        <w:rPr>
          <w:rFonts w:ascii="Times New Roman" w:hAnsi="Times New Roman"/>
          <w:color w:val="000000"/>
          <w:sz w:val="20"/>
        </w:rPr>
        <w:t xml:space="preserve"> </w:t>
      </w:r>
      <w:r>
        <w:rPr>
          <w:rFonts w:ascii="Times New Roman" w:hAnsi="Times New Roman"/>
          <w:color w:val="000000"/>
          <w:sz w:val="16"/>
        </w:rPr>
        <w:t>shares of Class A</w:t>
      </w:r>
      <w:r>
        <w:rPr>
          <w:rFonts w:ascii="Times New Roman" w:hAnsi="Times New Roman"/>
          <w:color w:val="000000"/>
          <w:sz w:val="20"/>
        </w:rPr>
        <w:t xml:space="preserve"> </w:t>
      </w:r>
      <w:r>
        <w:rPr>
          <w:rFonts w:ascii="Times New Roman" w:hAnsi="Times New Roman"/>
          <w:color w:val="000000"/>
          <w:sz w:val="16"/>
        </w:rPr>
        <w:t>common stock, $0.001 par value per share, and</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r>
        <w:rPr>
          <w:rFonts w:ascii="Times New Roman" w:hAnsi="Times New Roman"/>
          <w:color w:val="000000"/>
          <w:sz w:val="16"/>
        </w:rPr>
        <w:t>shares of</w:t>
      </w:r>
      <w:r>
        <w:rPr>
          <w:rFonts w:ascii="Times New Roman" w:hAnsi="Times New Roman"/>
          <w:color w:val="000000"/>
          <w:sz w:val="20"/>
        </w:rPr>
        <w:t xml:space="preserve"> </w:t>
      </w:r>
      <w:r>
        <w:rPr>
          <w:rFonts w:ascii="Times New Roman" w:hAnsi="Times New Roman"/>
          <w:color w:val="000000"/>
          <w:sz w:val="16"/>
        </w:rPr>
        <w:t>Class B common stock, $0.001 par value per share, outstanding.</w:t>
      </w:r>
      <w:r>
        <w:rPr>
          <w:rFonts w:ascii="Times New Roman" w:hAnsi="Times New Roman"/>
          <w:color w:val="000000"/>
          <w:sz w:val="20"/>
        </w:rPr>
        <w:t xml:space="preserve"> </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HorizontalLine"/>
        <w:pBdr>
          <w:bottom w:val="double" w:sz="2" w:space="0" w:color="808080"/>
        </w:pBdr>
        <w:bidi w:val="0"/>
        <w:spacing w:before="0" w:after="283"/>
        <w:jc w:val="left"/>
        <w:rPr/>
      </w:pPr>
      <w:r>
        <w:rPr/>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for its 2026 Annual Meeting of Stockholders, which the Registrant intends to file pursuant to Regulation 14A with the Securities and Exchange Commission not later than 120 days after the Registrant’s fiscal year ended December 31, 2025, are incorporated by reference into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8"/>
        <w:gridCol w:w="8663"/>
        <w:gridCol w:w="604"/>
      </w:tblGrid>
      <w:tr>
        <w:trPr/>
        <w:tc>
          <w:tcPr>
            <w:tcW w:w="938" w:type="dxa"/>
            <w:tcBorders/>
            <w:vAlign w:val="center"/>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forward_looking_statements">
              <w:r>
                <w:rPr>
                  <w:rStyle w:val="InternetLink"/>
                  <w:rFonts w:ascii="Times New Roman" w:hAnsi="Times New Roman"/>
                  <w:b/>
                  <w:color w:val="0000FF"/>
                  <w:sz w:val="20"/>
                  <w:u w:val="single"/>
                </w:rPr>
                <w:t>SPECIAL NOTE REGARDING FORWARD-LOOKING STATEMENTS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risks_business">
              <w:r>
                <w:rPr>
                  <w:rStyle w:val="InternetLink"/>
                  <w:rFonts w:ascii="Times New Roman" w:hAnsi="Times New Roman"/>
                  <w:b/>
                  <w:color w:val="0000FF"/>
                  <w:sz w:val="20"/>
                  <w:u w:val="single"/>
                </w:rPr>
                <w:t>SUMMARY OF RISKS ASSOCIATED WITH OUR 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iv</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i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96</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104</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1">
              <w:r>
                <w:rPr>
                  <w:rStyle w:val="InternetLink"/>
                  <w:rFonts w:ascii="Times New Roman" w:hAnsi="Times New Roman"/>
                  <w:color w:val="0000FF"/>
                  <w:sz w:val="20"/>
                  <w:u w:val="single"/>
                </w:rPr>
                <w:t>Exhibit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_1">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2" w:name="special_note_forward_looking_statements"/>
      <w:bookmarkEnd w:id="2"/>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(the Annual Report)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product candidates and conducting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involved in obtaining and maintaining regulatory approval of our product candidates and the timing or likelihood of regulatory filings and approvals, including our expectation to seek special designations for our product candidates for various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 including the geographic areas of focus and our ability to grow a sales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license additional intellectual property relating to any future product candidates and to comply with our existing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unfavorable geopolitical and macroeconomic conditions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current product candidates or any other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diseases we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nonclinical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in potential commercial markets who suffer from the diseases we target and the number of subjects that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focus of our current and future clinical trials, and the reporting of data from those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the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 as well as 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and protect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product candidates and any other product candidates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the continued service of our key personnel and to identify, hire, and then retain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You should be aware that the occurrence of any of the events discussed under Part I, Item 1A, “Risk Factors” and elsewhere in this Annual Report could substantially harm our business, results of operations and financial condition and that if any of these events occurs, the trading price of our Class A common stock (common stock) could decline and you could lose all or a part of the value of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cautionary statements made in this Annual Report are intended to be applicable to all related forward-looking statements wherever they may appear in this Annual Report. We urge you not to place undue reliance on these forward-looking statements, which speak only as of the date of this Annual Report. Except as required by law, we assume no obligation to update our forward-looking statements publicly, or to update the reasons actual results could differ materially from those anticipated in any forward-looking statements, whether as a result of new information, future events or otherwise.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ummary_of_risks_busines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Below is a list of some of the material risks associated with our business. This summary does not address all of the risks that we face. Additional discussion of the risks listed in this summary, as well as other risks that we face, is set forth under Part I, Item 1A, “Risk Factors” in this Annual Report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a limited number of clinical trials for our lead product candidate, atacicept, and have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inception, and have never generated revenue from product sales. We expect to continue to incur net losses at least until we have one or more approved products that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our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product candidates. If we are unable to complete development of, obtain regulatory approval for and commercialize our product candidates in one or more indications and in a timely manner, our business, financial condition, results of operations and prospects will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and retention of participants in clinical trials is an expensive and time-consuming process and could be made more difficult or rendered impossible by multiple factors outside our control, including difficulties in identifying patients with immunoglobulin A nephropathy, the availability of competitive products, and significant competition for recruiting participants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prevalence for target patient populations of our product candidates in specific indications are based on estimates and third-party sources. If the market opportunities for our product candidates,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which may result in others discovering, developing or commercializing products before or more successfully than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methods of manufacturing or formulation of our product candidates may result in additional costs or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product candidate we develop receives regulatory approval, it could be subject to significant post-marketing regulatory requirements and will be subject to continued regulatory oversight.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 agencies caused by funding shortages, staffing limitations, or global health concerns could hinder their ability to hire, retain or deploy key leadership and other personnel, and prevent new or modified products from being developed, reviewed, approved or commercialized in a timely manner or at all, which could negatively impact our business.</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Biosimilars to our product candidates may provide competition sooner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geopolitical and global economic conditions, including tariffs and trade tensions,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highly dependent on our ability to attract and retain highly skilled executive officers, employees and key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breach our license agreement with Ares Trading S.A., an affiliate of Merck KGaA, Darmstadt, Germany, related to atacicept, the license agreement with Novartis International Pharmaceutical AG related to MAU868, or the license agreement with the Board of Trustees of Leland Stanford Junior University related to VT-109, we could lose the ability to continue the development and commercialization of atacicept, MAU868, or VT-109,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make significant payments under our license agreements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terms may be inadequate to protect our competitive position on our product candidates for an adequate amount of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including independent clinical investigators and contract research organizations,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financial condition, results of operations and prospects could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 for patients, if approved,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material weaknesses in internal control over financial reporting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securities litigation, which is expensive and could divert management attention.</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focused on developing and commercializing transformative treatments for patients with serious immunological diseases. Our lead product candidate, atacicept, is currently being evaluated for the treatment of immunoglobulin A nephropathy (IgAN) and other autoimmune kidney diseases. Atacicept is a native human TACI-Fc fusion protein that binds both the B-cell activating factor (BAFF) and A proliferation-inducing ligand (APRIL) cytokines and is self-administered subcutaneously at home. We are conducting ORIGIN 3, the pivotal Phase 3 trial of atacicept 150 mg in IgAN. The trial met the primary efficacy endpoint of reduction in proteinuria as measured by 24-hour urine protein-to-creatinine ratio (UPCR) at week 36, where participants treated with atacicept achieved a 46% reduction from baseline in UPCR with a statistically significant and clinically meaningful 42% reduction in UPCR compared to placebo (p&lt;0.0001). The incidence of adverse events was generally balanced between the atacicept and placebo groups, with fewer serious adverse events reported with atacicept (n=1 [0.5%]) than placebo (n=11 [5%]), no safety signals indicating immunosuppression, and no deaths in either treatment group. In November 2025, we submitted a Biologics License Application (BLA) for atacicept for the treatment of adults with IgAN to the U.S. Food and Drug Administration (FDA) through the Accelerated Approval Program. On January 7, 2026, the FDA granted priority review to the application and assigned a Prescription Drug User Fee Act (PDUFA) target action date of July 7, 2026. If approved, atacicept would be the first B-cell modulator inhibiting both BAFF and APRIL for IgAN, offering patients an autoinjector for at-home self-administration. The ORIGIN 3 key secondary endpoint to support full approval is estimated glomerular filtration rate (eGFR) at 104 weeks, with results expected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 Phase 2b clinical trial evaluated the safety and efficacy of atacicept in 116 participants with IgAN and reported positive results at 24 weeks in January 2023, 36 weeks in June 2023, and 96 weeks in October 2024. The trial remained blinded through 36 weeks, after which all participants were eligible for the open label extension portion of the study and received atacicept 150 mg through 96 weeks. Atacicept met its primary endpoint at 24 weeks with a statistically significant reduction in UPCR. Through 36 weeks, participants treated with atacicept demonstrated reductions in galactose-deficient IgA1 (Gd-IgA1, the autoantigen produced by B cells in patients with IgAN), hematuria, and UPCR, with stable eGFR. The improvements in Gd-IgA1, hematuria, UPCR and eGFR represent the quartet of findings consistent with IgAN disease modification. The 96-week open label extension results showed consistent and sustained reductions in Gd-IgA1, hematuria, and UPCR, with continued eGFR stabilization at a rate similar to the general population without kidney disease. Atacicept’s safety profile appeared favorable, and comparable to placebo, across the ORIGIN program in IgAN.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atacicept has pipeline-in-a-molecule potential, with expected application in multiple diseases. Based on data from the ORIGIN Phase 2b trial, the FDA granted Breakthrough Therapy Designation to atacicept for the treatment of IgAN. We have also committed to providing long-term access to atacicept for ORIGIN participants through ORIGIN EXTEND, a long-term Phase 2 extension study that offers atacicept to participants who completed ORIGIN Phase 2b or 3 until, if approved, commercial availability in their country or region. We are evaluating atacicept in other autoimmune kidney diseases, including primary membranous nephropathy (pMN), focal segmental glomerulosclerosis (FSGS) and minimal change disease (MCD), in patients with anti-phospholipase A2 receptor (PLA2R) or anti-nephrin autoantibodies in the Phase 2 PIONEER clinical trial. Potential future indications include anti-neutrophil cytoplasmic antibody-associated vasculitis (AAV), lupus nephritis (LN), Sjogren’s disease, systemic lupus erythematosus (SLE), systemic sclerosis, generalized myasthenia gravis, and idiopathic thrombocytopenic purpura.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hold worldwide, exclusive development and commercial rights to MAU868, a potentially first-in-class monoclonal antibody to treat reactivated BK virus (BKV) infections, for which we completed a Phase 2 clinical trial in 2022. In January 2025, we acquired worldwide, exclusive development and commercial rights to VT-109, a novel, next-generation dual BAFF/APRIL inhibitor that is in preclinical development. We believe that our current pipeline programs leverage the deep expertise of our team and have strong potential commercial synergies.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Beyond our lead indication in IgAN, we have several late-stage opportunities for potential patient benefit – including indication expansion opportunities for atacicept, the development of VT-109 in B-cell–mediated diseases, and MAU868 for BK viremia among kidney transplant recipients. We are currently evaluating these opportunities for future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life cycle management strategy for atacicept, we are actively enrolling participants in a monthly dose range finding study to evaluate extended dosing intervals. As discussed above, there are also multiple indications in which blocking BAFF and APRIL may offer therapeutic benefit and which offer an attractive commercial opportunity, some of which we are evaluating in the PIONEER phase 2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announced a license agreement (Stanford Agreement) with the Board of Trustees of Leland Stanford Junior University (Stanford) to acquire global rights to VT-109, a novel, next generation fusion protein targeting BAFF and APRIL that is in preclinical development with wide therapeutic potential across the spectrum of B-cell-mediated diseases. These rights are for all therapeutic, prophylactic, diagnostic, and treatment uses in humans.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we have exclusive worldwide rights, pursuant to the license agreement (Novartis License) with Novartis International Pharmaceutical AG (Novartis), to the investigational drug MAU868 for BK viremia among kidney transplant recipients. BKV is a common polyoma virus in adults (90%) that remains latent except in severely immunocompromised populations such as kidney transplant recipients. BKV infection or reactivation can cause BKV nephropathy (BKVN), a condition in which BK infection (first identified as BK viremia) triggers inflammation, then progresses to fibrosis and tubular injury; BKVN is a leading cause of allograft loss. Approximately 15% of kidney transplant recipients develop BK viremia; 3–4% of kidney transplant recipients develop BKVN. Currently, there are no approved treatment options for BK viremia or BKVN. Final results from the Phase 2 clinical trial of MAU868 versus placebo were presented at ASN Kidney Week 2022 and showed that MAU868 was well tolerated and it demonstrated clinically meaningful reductions in BK antiviral activity through 36 weeks in kidney transplant patients with BK viremia. Following feedback from the FDA on the Phase 2 clinical trial, we are evaluating strategies for continued development, including a potential next clinical trial. We believe that MAU868 has the potential to become standard of care for the treatment of reactivated BK infection in order to prevent devastating consequences following kidney transplantation such as BKVN and graft loss.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business principles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Develop disease-modifying medicines to improve patients’ lives.</w:t>
      </w:r>
      <w:r>
        <w:rPr>
          <w:color w:val="000000"/>
        </w:rPr>
        <w:t xml:space="preserve"> </w:t>
      </w:r>
      <w:r>
        <w:rPr>
          <w:rFonts w:ascii="Times New Roman" w:hAnsi="Times New Roman"/>
          <w:color w:val="000000"/>
          <w:sz w:val="20"/>
        </w:rPr>
        <w:t>Our team seeks to bring transformative medical products to patients with severe immunological diseases, who often receive steroids as the current standard of care. The non-specific immunosuppressive effect of steroids, with known acute and chronic side effects, presents an important opportunity for innovation. We aim to develop and commercialize disease-modifying drugs that target the source of disease, minimize side effects, and have high potential to meaningfully change standard medical care and improve patients’ lives.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Establish clear line-of-sight to successful products. </w:t>
      </w:r>
      <w:r>
        <w:rPr>
          <w:rFonts w:ascii="Times New Roman" w:hAnsi="Times New Roman"/>
          <w:color w:val="000000"/>
          <w:sz w:val="20"/>
        </w:rPr>
        <w:t>We apply our deep drug development experience, scientific rigor, and disciplined decision making to establish clear line-of-sight along the full spectrum of drug development. We pursue biologic targets, product candidates, and disease indications with a strong scientific rationale, de-risked profile, and capital-efficient development pathway, and optimize for high probability of clinical, regulatory, and commercial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Build a leading biotech company that delivers innovative medicines to patients. </w:t>
      </w:r>
      <w:r>
        <w:rPr>
          <w:rFonts w:ascii="Times New Roman" w:hAnsi="Times New Roman"/>
          <w:color w:val="000000"/>
          <w:sz w:val="20"/>
        </w:rPr>
        <w:t>We believe our team’s expertise and our business culture are fundamental to our success. Our Research and Development and Commercial teams are led by experienced drug development executives with proven track records in clinical and commercial development who have led or been involved in the approvals of more than 15 medicines from leading companies, including Gilead Sciences and Amgen. We leverage our team’s know-how with additional outsourced resources and enable focused clinical development of our product candidates with the goal of improving patients’ lives.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principles have guided us to the successful in-licensing of atacicept from Ares Trading S.A. (Ares), VT-109 from Stanford, and obtaining the rights to MAU868 via the Novartis License from Amplyx Pharmaceuticals, Inc. (Amplyx), a wholly-owned subsidiary of Pfizer, in each case with worldwide rights for development and commercialization. We take a gated-capital raise approach and scale product candidate investment and exposure in close step with key development milestones to ensure high return on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near- and long-term objectives in pursuit of our goal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Complete global development of atacicept in IgAN.</w:t>
      </w:r>
      <w:r>
        <w:rPr>
          <w:color w:val="000000"/>
        </w:rPr>
        <w:t xml:space="preserve"> </w:t>
      </w:r>
      <w:r>
        <w:rPr>
          <w:rFonts w:ascii="Times New Roman" w:hAnsi="Times New Roman"/>
          <w:color w:val="000000"/>
          <w:sz w:val="20"/>
        </w:rPr>
        <w:t>Our BLA for atacicept in IgAN was granted Priority Review by the FDA, with a PDUFA target action date of July 7, 2026. We have also committed to providing access to atacicept through the ORIGIN EXTEND study for ORIGIN participants until atacicept is available in their region. The PIONEER study is evaluating atacicept in an expanded IgAN population beyond the ORIGIN program. We anticipate clinical results from the ORIGIN EXTEND and PIONEER studies in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Build and scale organizational capabilities to support commercialization of atacicept.</w:t>
      </w:r>
      <w:r>
        <w:rPr>
          <w:color w:val="000000"/>
        </w:rPr>
        <w:t xml:space="preserve"> </w:t>
      </w:r>
      <w:r>
        <w:rPr>
          <w:rFonts w:ascii="Times New Roman" w:hAnsi="Times New Roman"/>
          <w:color w:val="000000"/>
          <w:sz w:val="20"/>
        </w:rPr>
        <w:t>Under the leadership of our experienced management team, we are building a specialized commercial organization with deep launch experience in nephrology, B cell, and autoimmune therapeutics, to successfully launch atacicept in the United States and other key markets, if approved.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Explore additional disease areas where atacicept holds significant therapeutic promise. </w:t>
      </w:r>
      <w:r>
        <w:rPr>
          <w:rFonts w:ascii="Times New Roman" w:hAnsi="Times New Roman"/>
          <w:color w:val="000000"/>
          <w:sz w:val="20"/>
        </w:rPr>
        <w:t>By targeting BAFF and APRIL, atacicept’s ability to reduce disease-causing autoantibodies may provide clinical benefit. We are exploring additional immunologic diseases where BAFF and APRIL are involved in the pathophysiology of disease, or where autoantibodies play an important role.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Advance the development of VT-109 and explore its potential in multiple B-cell–mediated diseases. </w:t>
      </w:r>
      <w:r>
        <w:rPr>
          <w:rFonts w:ascii="Times New Roman" w:hAnsi="Times New Roman"/>
          <w:color w:val="000000"/>
          <w:sz w:val="20"/>
        </w:rPr>
        <w:t>We acquired rights to this novel, next-generation dual BAFF/APRIL inhibitor in January 2025 and plan to leverage our research, translational medicine, clinical development and commercial expertise in developing this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Identify next clinical trial for MAU868 in BK viremia in kidney transplant recipients and align with regulatory authorities.</w:t>
      </w:r>
      <w:r>
        <w:rPr>
          <w:color w:val="000000"/>
        </w:rPr>
        <w:t xml:space="preserve"> </w:t>
      </w:r>
      <w:r>
        <w:rPr>
          <w:rFonts w:ascii="Times New Roman" w:hAnsi="Times New Roman"/>
          <w:color w:val="000000"/>
          <w:sz w:val="20"/>
        </w:rPr>
        <w:t xml:space="preserve">We reported positive final results from our Phase 2 clinical trial in kidney transplant recipients in 2022 and are evaluating strategies for continued development, including a potential next clinical trial.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 our pipeline by acquiring or in-licensing product candidates for immunologic diseases with unmet needs. </w:t>
      </w:r>
      <w:r>
        <w:rPr>
          <w:rFonts w:ascii="Times New Roman" w:hAnsi="Times New Roman"/>
          <w:color w:val="000000"/>
          <w:sz w:val="20"/>
        </w:rPr>
        <w:t>We believe our expertise and track record will enable us to identify and acquire or in-license additional product candidates that represent opportunities to expand the potential value of our pipeline. We will leverage our lean clinical development operation to bring to market additional product candidates to address kidney and immunologic diseases.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Atacicept in IgAN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atacicept as a potential treatment for patients with IgAN, a serious and progressive autoimmune disease of the kidney with a high unmet medical need and limited treatment options available. IgAN is driven by the B-cell production of Gd-IgA1 and its corresponding autoantigen. We reported positive topline 24-week results in January 2023, 36-week results in June 2023, and 96-week results in October 2024 from the ORIGIN 2b trial. Our pivotal Phase 3 clinical trial, ORIGIN 3, met the primary endpoint in June 2025, leading to a BLA filing with a PDUFA date of July 7, 2026. We believe that atacicept has the potential to be the best-in-class, leading B-cell modulator therapy for IgAN.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Disease burden, diagnosis, and predictors of disease progression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IgAN is considered a rare disease in the United States and Europe, but it is the predominant cause of primary glomerulonephritis. Patients with IgAN are most often diagnosed in the second and third decades of life. Diagnosis often occurs when patients present with visible signs of chronic kidney disease (CKD), such as hematuria, proteinuria, and hypertension; in the US, most IgAN patients are in stage 3 CKD or greater at diagnosis. Once IgAN is suspected based on clinical history and laboratory data, kidney biopsy is performed for a definitive diagnosis. IgAN is associated with a high risk of kidney-related morbidity and mortality. Patients with IgAN consistently report lower quality of life, even with optimized supportive care. At least 50% of patients diagnosed with IgAN develop end-stage kidney disease (ESKD) within 10 to 20 years from diagnosis, requiring dialysis or kidney transplant. In addition to considerable morbidity and impact on patients’ lives, ESKD represents a significant health economic burden estimated to be greater than or equal to ~$3.8 billion over ten years in the U.S. based on a retrospective 2023 study of U.S. patients with IgAN.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IgAN 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there will be approximately 160,000 biopsy-confirmed IgAN patients in the United States, 136,000 in Europe, and 130,000 in Japan, at estimated peak year of sales, and that growth in the diagnosed prevalent population is due to overall population growth. Underlying genetic differences may contribute to the significantly higher rate in Japan. As therapies become commercially available, however, an increase in diagnosis rate or longer time to progression, due to better treatments, may increase the diagnosed population over time. We estimate the global market opportunity for novel, disease-modifying therapeutics in IgAN is approximately $6.0 billion to $10.0 billion annually, based on the disease prevalence and the segment of IgAN patients at high risk of progressing to ESKD.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Figure 1: Estimated IgAN epidemiology at estimated peak year of sales</w:t>
      </w:r>
    </w:p>
    <w:p>
      <w:pPr>
        <w:pStyle w:val="TextBody"/>
        <w:bidi w:val="0"/>
        <w:spacing w:before="120" w:after="283"/>
        <w:jc w:val="center"/>
        <w:rPr/>
      </w:pPr>
      <w:r>
        <w:rPr/>
        <w:drawing>
          <wp:inline distT="0" distB="0" distL="0" distR="0">
            <wp:extent cx="3686175" cy="2952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86175" cy="295275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Pathophysiology of 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shown in Figure 2 below, B cell activation by BAFF and APRIL drives a process that leads to the ultimate development of progressive kidney injury.</w:t>
      </w:r>
    </w:p>
    <w:p>
      <w:pPr>
        <w:pStyle w:val="TextBody"/>
        <w:bidi w:val="0"/>
        <w:jc w:val="center"/>
        <w:rPr>
          <w:rFonts w:ascii="Times New Roman" w:hAnsi="Times New Roman"/>
          <w:b/>
          <w:color w:val="000000"/>
          <w:sz w:val="20"/>
        </w:rPr>
      </w:pPr>
      <w:r>
        <w:rPr>
          <w:rFonts w:ascii="Times New Roman" w:hAnsi="Times New Roman"/>
          <w:b/>
          <w:color w:val="000000"/>
          <w:sz w:val="20"/>
        </w:rPr>
        <w:t>Figure 2: IgAN pathophysiology</w:t>
      </w:r>
    </w:p>
    <w:p>
      <w:pPr>
        <w:pStyle w:val="TextBody"/>
        <w:bidi w:val="0"/>
        <w:jc w:val="center"/>
        <w:rPr/>
      </w:pPr>
      <w:r>
        <w:rPr/>
        <w:t> </w:t>
      </w:r>
    </w:p>
    <w:p>
      <w:pPr>
        <w:pStyle w:val="TextBody"/>
        <w:bidi w:val="0"/>
        <w:jc w:val="center"/>
        <w:rPr/>
      </w:pPr>
      <w:r>
        <w:rPr/>
        <w:drawing>
          <wp:inline distT="0" distB="0" distL="0" distR="0">
            <wp:extent cx="6858000" cy="2628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628900"/>
                    </a:xfrm>
                    <a:prstGeom prst="rect">
                      <a:avLst/>
                    </a:prstGeom>
                  </pic:spPr>
                </pic:pic>
              </a:graphicData>
            </a:graphic>
          </wp:inline>
        </w:drawing>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BAFF and APRIL activate B cells by binding to TACI, a receptor on the surface of B cells. This leads to B cell maturation and survival, and antibody class switching, a mechanism that changes cells’ production from one immunoglobulin to another, causing an increase in the production of immunogenic Gd-IgA1.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Gd-IgA1 antibodies are immunogenic when found in the systemic circulation, and are recognized as an autoantigen by autoantibodies, or antibodies created by B cells in response to a constituent of the body’s own tissue.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Gd-IgA1 and anti-Gd-IgA1 autoantibodies combine to form pathogenic immune complexes, or clusters of antibodies.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Pathogenic immune complexes are deposited and become trapped in the mesangium of the kidney’s glomeruli. This initiates an inflammatory response that damages the membranes.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glomeruli are destroyed, the kidney’s ability to remove waste products from the blood is reduced, and protein and blood leak into the urine. Over time, the decline in kidney function as measured by eGFR can result in potentially life-threatening complications that lead to the need for dialysis or kidney transplant in many patients.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Findings consistent with disease modification in 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therapy that may comprehensively address treatment goals outlined in current clinical guidelines, and offer potential for disease modification, would be designed to address the underlying autoimmune drivers of disease progression. Such a treatment would ideally achieve 1) a reduction in the burden of the immune complexes, which can be indirectly measured via reductions in the autoantigen, Gd-IgA1; 2) resolution of inflammation, which can be simply measured using a point of care device, urine dipstick, for hematuria; 3) reductions in proteinuria, and most importantly, 4) achievement of a stabilized kidney function profile, as measured by eGFR, consistent with that of the general population.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Gd-IgA1 antibodies have been shown to be the target autoantigen for autoantibodies. A histopathological hallmark of IgAN is deposition of Gd-IgA1 in the glomerular mesangium, either alone or in combination with immunoglobulin G (IgG) and/or immunoglobulin M (IgM). Clinical trials of patients with IgAN have correlated higher serum levels of Gd-IgA1 with greater disease severity, suggesting that reduction in serum Gd-IgA1 may slow disease progression. In a prospective study of 275 patients with IgAN published in Kidney International, higher serum Gd-IgA1 levels were correlated with a higher likelihood of developing progressive kidney failure. A separate clinical trial of patients with IgAN of varying severity found that higher titers of autoantibodies specific for Gd-IgA1 corresponded to both absolute renal risk score and risk of ESKD or death.</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Hematuria, a clinical manifestation of glomerular inflammation seen in over 70% of patients with IgAN, correlates with worse clinical outcomes, such as greater rates of kidney failure, highlighting its potential as a marker of disease. Evidence from recent studies suggests that persistent heavy microscopic hematuria in IgAN likely reflects glomerular capillary wall damage caused by the deposition of immune complexes and is a contributing factor for proteinuria and disease progression.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with persistent hematuria in addition to persistent proteinuria are at higher risk than those with proteinuria alone, suggesting that hematuria should be considered when assessing the risk of disease progression. Patients with persistent microscopic hematuria are more likely to have a greater decline in kidney function during follow up compared to those with minimal or no hematuria. Resolution of microscopic hematuria has been associated with improved kidney outcomes in patients with IgAN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Proteinuria is considered an appropriate surrogate endpoint to assess treatment response and monitor disease progression in IgAN. Current clinical guidelines define patients at risk for progressive disease as those with proteinuria &gt;0.5 g/day. Although baseline proteinuria is predictive of eGFR decline, recent data have shown that even lower levels of proteinuria (0.44 to &lt;0.88 g/g) are associated with an increased risk of kidney failure.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eGFR stabilization is the ultimate treatment goal in order to minimize risk of disease progression and kidney function loss. Even with an eGFR decline of 1 mL/min/1.73m2/year, ~40% of patients diagnosed before age 50 will reach kidney failure. Reducing the rate of eGFR decline to ≤1 mL/min/1.73m2/year to be consistent with the general population without kidney disease is recommended by current clinical guidelines in order to minimize risk of disease progression and kidney function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these reasons, we believe a fusion protein that blocks both BAFF and APRIL, which has the potential to reduce serum Gd-IgA1, would address the upstream source of IgAN, and represent the first disease-modifying approach for IgAN.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Current standard of care for IgAN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high unmet medical need in IgAN, there are limited treatment options available. Current clinical guidelines recommend simultaneous use of the following two approaches for patients with IgAN: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Non-specific measures to manage the consequences of existing kidney damage (i.e., CKD), including the use of renin-angiotensin system (RAS) inhibitors (e.g., angiotensin-converting enzyme [ACE inhibitors] or angiotensin II receptor blockers [ARBs]) and sodium-glucose cotransporter-2 (SGLT2) inhibitors.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Treatments that have been proven to reduce immune complex formation and immune-complex-mediated glomerular injury, such as steroids with or without other immunosuppressive agents to non-specifically reduce inflammation resulting from immune complex deposition in the glomeruli.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 use of both approaches is recommended to meet the key treatment goal of reducing the rate of loss of kidney function to that of the general population (i.e., 1 mL/min/year or less) in order to minimize the lifetime risk of ESKD. Treatment is selected based on perceived risk of progressive kidney disease, and clinical measures such as hematuria, proteinuria, and eGFR are used to monitor patients while on treatment. Even the combination of these treatments is currently seen as insufficient by physicians and patients; these treatment approaches have limited clinical efficacy and are not well tolerated. The use of steroids may cause significant side effects, including serious infections, high blood pressure, weight gain, diabetes, and osteoporosis. As such, there is a high unmet medical need for targeted therapies that address the underlying disease pathophysiology and have a more tolerable safety profile than systemic steroids.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Treatment landscape of approved and emerging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hypothesis of IgAN pathophysiology offers potential target points and approaches for therapeutic intervention. As of January 2026, there are five agents approved for the treatment of IgAN and several additional treatments are in clinical development. Most therapeutic candidates in clinical development have employed various approaches to target inflammation and the downstream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agents can be grouped mechanistically into the following categories: glucocorticoid receptor agonists, endothelin receptor antagonists (ERAs), complement inhibitors, B-cell modulators, and a variety of other approaches that are in the early stages of clinical development.</w:t>
      </w:r>
    </w:p>
    <w:p>
      <w:pPr>
        <w:pStyle w:val="TextBody"/>
        <w:bidi w:val="0"/>
        <w:spacing w:before="120" w:after="283"/>
        <w:jc w:val="left"/>
        <w:rPr>
          <w:rFonts w:ascii="Times New Roman" w:hAnsi="Times New Roman"/>
          <w:sz w:val="20"/>
        </w:rPr>
      </w:pPr>
      <w:r>
        <w:rPr>
          <w:rFonts w:ascii="Times New Roman" w:hAnsi="Times New Roman"/>
          <w:i/>
          <w:color w:val="000000"/>
          <w:sz w:val="20"/>
        </w:rPr>
        <w:t>Glucocorticoid receptor agonists</w:t>
      </w:r>
      <w:r>
        <w:rPr>
          <w:rFonts w:ascii="Times New Roman" w:hAnsi="Times New Roman"/>
          <w:color w:val="000000"/>
          <w:sz w:val="20"/>
        </w:rPr>
        <w:t>. Glucocorticoid receptor agonists are a well-known class of molecules that have broad anti-inflammatory effects, and well-established acute and chronic side effects. Though reduction in the risk of eGFR decline was shown in clinical trials, there is no consensus on whether glucocorticoids may improve kidney survival. The glucocorticoid budesonide has been reformulated to concentrate steroid effects locally on the gut mucosa, theoretically suppressing the abnormal B cell activity and reducing systemic steroid toxicity. Reformulated budesonide, a delayed-release corticosteroid developed by Asahi Kasei Corp., is currently approved by the FDA as TARPEYO® and European Commission as KINPEYGO® for reducing the loss of kidney function in adults with IgAN who are at risk for disease progression, though systemic steroid side effects have been observed in clinical trials.</w:t>
      </w:r>
    </w:p>
    <w:p>
      <w:pPr>
        <w:pStyle w:val="TextBody"/>
        <w:bidi w:val="0"/>
        <w:spacing w:before="120" w:after="283"/>
        <w:jc w:val="left"/>
        <w:rPr>
          <w:rFonts w:ascii="Times New Roman" w:hAnsi="Times New Roman"/>
          <w:sz w:val="20"/>
        </w:rPr>
      </w:pPr>
      <w:r>
        <w:rPr>
          <w:rFonts w:ascii="Times New Roman" w:hAnsi="Times New Roman"/>
          <w:i/>
          <w:color w:val="000000"/>
          <w:sz w:val="20"/>
        </w:rPr>
        <w:t>ERAs</w:t>
      </w:r>
      <w:r>
        <w:rPr>
          <w:rFonts w:ascii="Times New Roman" w:hAnsi="Times New Roman"/>
          <w:color w:val="000000"/>
          <w:sz w:val="20"/>
        </w:rPr>
        <w:t xml:space="preserve">. Aberrant endothelin signaling is implicated in structural podocyte changes and increased mesangial proliferation in chronic kidney diseases, including IgAN. ERAs block endothelin-induced cell proliferation and hence may reduce renal perfusion pressure and proteinuria. Since this mechanism of action works downstream of disease-related immune activities, it is not expected to reduce Gd-IgA1 or the resulting immune complexes that cause the disease. ERAs have previously been approved for the treatment of pulmonary arterial hypertension and erectile dysfunction and make use of a vasodilatory effect. ERAs have been associated with edema,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liver toxicity and increased risk of heart failure. Sparsentan, a dual endothelin angiotensin receptor antagonist developed by Travere Therapeutics, is currently approved by the FDA and European Commission as FILSPARI®, with a boxed warning for hepatotoxicity and embryo-fetal toxicity and a Risk Evaluation and Mitigation Strategies (REMS) assigned for liver toxicity. Atrasentan is an endothelin A receptor antagonist developed by Novartis and approved by the FDA as VANRAFIA®. </w:t>
      </w:r>
    </w:p>
    <w:p>
      <w:pPr>
        <w:pStyle w:val="TextBody"/>
        <w:bidi w:val="0"/>
        <w:spacing w:before="120" w:after="283"/>
        <w:jc w:val="left"/>
        <w:rPr>
          <w:rFonts w:ascii="Times New Roman" w:hAnsi="Times New Roman"/>
          <w:sz w:val="20"/>
        </w:rPr>
      </w:pPr>
      <w:r>
        <w:rPr>
          <w:rFonts w:ascii="Times New Roman" w:hAnsi="Times New Roman"/>
          <w:i/>
          <w:color w:val="000000"/>
          <w:sz w:val="20"/>
        </w:rPr>
        <w:t>Complement inhibitors</w:t>
      </w:r>
      <w:r>
        <w:rPr>
          <w:rFonts w:ascii="Times New Roman" w:hAnsi="Times New Roman"/>
          <w:color w:val="000000"/>
          <w:sz w:val="20"/>
        </w:rPr>
        <w:t>. Increased complement activation is commonly observed in patients with IgAN. It is hypothesized that immune-complex deposition in glomeruli may contribute to complement activation, though the exact mechanism is not well understood. Iptacopan is a complement inhibitor developed by Novartis and approved by the FDA as FABHALTA®. Several other agents that inhibit complement activation are in early stages of clinical development for IgAN. As complement inhibition works downstream of immune complex formation, these agents are not expected to impact the upstream cause of disease and reduce Gd-IgA1 or the resulting immune complexes that cause inflammation and complement activation in the kidney.</w:t>
      </w:r>
    </w:p>
    <w:p>
      <w:pPr>
        <w:pStyle w:val="TextBody"/>
        <w:bidi w:val="0"/>
        <w:spacing w:before="120" w:after="283"/>
        <w:jc w:val="left"/>
        <w:rPr>
          <w:rFonts w:ascii="Times New Roman" w:hAnsi="Times New Roman"/>
          <w:sz w:val="20"/>
        </w:rPr>
      </w:pPr>
      <w:r>
        <w:rPr>
          <w:rFonts w:ascii="Times New Roman" w:hAnsi="Times New Roman"/>
          <w:i/>
          <w:color w:val="000000"/>
          <w:sz w:val="20"/>
        </w:rPr>
        <w:t>B-cell modulators</w:t>
      </w:r>
      <w:r>
        <w:rPr>
          <w:rFonts w:ascii="Times New Roman" w:hAnsi="Times New Roman"/>
          <w:color w:val="000000"/>
          <w:sz w:val="20"/>
        </w:rPr>
        <w:t>. B-cell modulators, including atacicept, are an important category of emerging therapies for IgAN. The disease-causing Gd-IgA1 is predominantly produced by B cells. Therefore, control of B cell activation may reduce production of Gd-IgA1 and the downstream formation of autoantibodies and immune complexes. Preclinical models have shown that dual inhibition of BAFF and APRIL offers improved suppression of B cell activities over blocking BAFF or APRIL alone. Sibeprenlimab is an APRIL-specific monoclonal antibody developed by Otsuka Pharmaceuticals and approved by the FDA as VOYXACT®.</w:t>
      </w:r>
    </w:p>
    <w:p>
      <w:pPr>
        <w:pStyle w:val="TextBody"/>
        <w:bidi w:val="0"/>
        <w:jc w:val="left"/>
        <w:rPr>
          <w:rFonts w:ascii="Times New Roman" w:hAnsi="Times New Roman"/>
          <w:b/>
          <w:i/>
          <w:color w:val="000000"/>
          <w:sz w:val="20"/>
        </w:rPr>
      </w:pPr>
      <w:r>
        <w:rPr>
          <w:rFonts w:ascii="Times New Roman" w:hAnsi="Times New Roman"/>
          <w:b/>
          <w:i/>
          <w:color w:val="000000"/>
          <w:sz w:val="20"/>
        </w:rPr>
        <w:t>Our solution: Atacicept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Atacicept is a fusion protein that blocks both BAFF and APRIL, which play key roles in the upstream pathways that cause IgAN and other autoimmune diseases, and is dosed once weekly via a 1-mL subcutaneous injection, self-administered at home. We believe that atacicept’s mechanism has the potential for clinically meaningful improvements in measures designed to assess efficacy in IgAN and other immunologic diseases. BAFF inhibition has been clinically and commercially validated through the approval of BENLYSTA (belimumab) in both SLE and LN. Preclinical and clinical evidence support that atacicept’s mechanism of dual inhibition of BAFF and APRIL may provide improved clinical outcomes, compared to inhibiting either signal alone, as measured by endpoints designed to assess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Importantly, atacicept is the first agent in development to demonstrate Gd-IgA1 reductions, hematuria improvements, and UPCR reductions with eGFR stabilization at a rate of decline similar to the general population without kidney disease through 96 weeks, suggesting atacicept may offer a potential long-term, disease-modifying treatment for IgAN with a favorable safety profile. As a result, we believe atacicept has the potential to be the first disease-modifying therapy which inhibits both BAFF and APRIL for IgAN. Atacicept has a well-characterized clinical safety profile with &gt;1,900 participants across all completed and ongoing clinical trials to date. We completed enrollment of participants in the ORIGIN 2b trial in 2022, and we reported positive results at 24 weeks in January 2023, 36 weeks in June 2023, 72 weeks in January 2024, and 96 weeks in October 2024. We are conducting a multinational, randomized, double-blind, placebo-controlled Phase 3 clinical trial in IgAN (ORIGIN 3). We completed enrollment for the primary endpoint cohort in September 2024 and completed full enrollment of the study in April 2025. In June 2025, we announced that atacicept met the primary endpoint of UPCR reduction at week 36, with a 46% reduction from baseline and a statistically significant and clinically meaningful 42% reduction compared to placebo (p&lt;0.0001; atacicept n=106, placebo n=97). In November 2025, we presented additional results from the 36-week interim analysis in a featured oral presentation during the ASN Kidney Week opening plenary session, with simultaneous publication in The New England Journal of Medicine. We submitted a BLA for atacicept in IgAN to the FDA in November 2025. The FDA granted priority review to the application and assigned a PDUFA target action date of July 7, 2026. If approved, atacicept would be the first B cell modulator targeting both BAFF and APRIL for IgAN, offering patients an autoinjector for at-home self-administration.</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IgAN: B-cell modulation to reduce Gd-IgA1 and autoantibodies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is a native human TACI-Fc fusion protein that is designed to modulate the B cell pathway, which has well characterized implications in immunologic diseases. Specifically, as shown in Figure 3 below, atacicept contains the soluble extracellular domain of the native TACI receptor fused with the inactivated Fc domain of IgG1. TACI is a native receptor for BAFF and APRIL, members of the tumor necrosis factor family that promote B cell survival and autoantibody production associated with IgAN and other immunologic diseases. Dual blockade of BAFF and APRIL by TACI has been shown to be more potent than blocking BAFF alone or APRIL alone and has the benefit of targeting long-lived plasma cells, in addition to B cells, thus reducing production of Gd-IgA1 and its autoantibodies. Therefore, atacicept is designed to precisely modulate B cell activity by binding both BAFF and APRIL, and follows a long history of impactful agents that are logically designed Fc fusion proteins. This mechanism acts directly on the source of IgAN, which we believe will significantly mitigate the downstream effects of the disease.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3: Atacicept is the result of rational drug design to target the upstream source of disease</w:t>
      </w:r>
    </w:p>
    <w:p>
      <w:pPr>
        <w:pStyle w:val="TextBody"/>
        <w:bidi w:val="0"/>
        <w:jc w:val="center"/>
        <w:rPr/>
      </w:pPr>
      <w:r>
        <w:rPr/>
        <w:t> </w:t>
      </w:r>
    </w:p>
    <w:p>
      <w:pPr>
        <w:pStyle w:val="TextBody"/>
        <w:bidi w:val="0"/>
        <w:jc w:val="center"/>
        <w:rPr/>
      </w:pPr>
      <w:r>
        <w:rPr/>
        <w:drawing>
          <wp:inline distT="0" distB="0" distL="0" distR="0">
            <wp:extent cx="6953250" cy="2962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53250" cy="2962275"/>
                    </a:xfrm>
                    <a:prstGeom prst="rect">
                      <a:avLst/>
                    </a:prstGeom>
                  </pic:spPr>
                </pic:pic>
              </a:graphicData>
            </a:graphic>
          </wp:inline>
        </w:drawing>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inhibits BAFF and APRIL, leading to decreased Gd-IgA1 production by B cells.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leads to a reduction in the autoantibodies that bind to Gd-IgA1.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formation of pathogenic immune complexes is greatly reduced.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in turn, reduces immune complex deposition in glomeruli and glomerular inflammation is reduced.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progressive renal injury is attenuated, with reductions in hematuria and proteinuria, and stabilization of eGFR, which we believe will significantly lower the morbidity and mortality associated with 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Atacicept’s potential disease-modifying mechanism addresses the upstream processes that cause IgAN, while other therapies act on downstream processes. Therefore, we believe that the clinical outcomes of atacicept, measured by endpoints designed to assess efficacy and durability, will be favorable over competitors, with a tolerability profile assessed in a rigorous clinical development program of &gt;1900 patient exposures to date. At home dosing with a once weekly, 1-mL subcutaneous injection via autoinjector also provides an attractive target product profile for patients.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Atacicept in IgAN: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was the subject of a collaboration agreement between Ares and ZymoGenetics, Inc. in 2001, and was licensed on an exclusive basis to Ares in 2008. It was advanced by Merck KGaA (Merck), Darmstadt, Germany, in clinical trials for several autoimmune diseases, including rheumatoid arthritis (RA), multiple sclerosis, SLE, and IgAN. We have worldwide, exclusive rights to atacicept from Ares, an affiliate of Merck, pursuant to a license agreement (Ares Agreement), which advanced atacicept in randomized, double-blind, placebo-controlled clinical trials for several autoimmune diseases in over 1,500 patients, in which it was well tolerated. Previously, Merck conducted a randomized, double-blind, placebo-controlled Phase 2a trial in IgAN known as JANUS. Results from the JANUS trial showed a dose-dependent effect of atacicept 25 mg and 75 mg weekly on serum Gd-IgA1, proteinuria, and key biomarkers, including serum Ig levels. As reported at the American Society of Nephrology (ASN) Kidney Week conference in 2022, atacicept is also the first therapeutic candidate in IgAN to show reduction in all first three hits of pathophysiology—serum Gd-IgA1, anti-Gd-IgA1 autoantibody, and immune complex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was studied in the ORIGIN 2b clinical trial, a multinational, randomized, placebo-controlled, double-blind trial for the treatment of IgAN (Figure 4). The ORIGIN 2b trial was designed to evaluate the efficacy and safety of atacicept in participants with biopsy-proven IgAN and persistent proteinuria despite stable and maximum-tolerated renin-angiotensin-aldosterone (RAAS) inhibitor regimen for at least 12 weeks. The clinical trial consisted of a 36-week double-blind treatment period, followed by a 60-week open-label treatment period and a 26-week safety follow-up period. The trial assessed three doses (25 mg, 75 mg and 150 mg) of once-weekly 1-mL subcutaneous injections, administered at home, of atacicept versus placebo, for impact on kidney function as measured by proteinuria and eGFR. The primary endpoint was change from baseline in UPCR at 24 weeks based on 24-hour urine collection, with a secondary endpoint of UPCR at 36 weeks. Other secondary endpoints included UPCR and eGFR at multiple timepoints, and safety and tolerability. Exploratory endpoints included Gd-IgA1 change from baseline and hematuria resolution. We completed enrollment in mid-2022, enrolling a total of 116 participants at multiple global sites.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4: ORIGIN 2b trial design</w:t>
      </w:r>
    </w:p>
    <w:p>
      <w:pPr>
        <w:pStyle w:val="TextBody"/>
        <w:bidi w:val="0"/>
        <w:jc w:val="center"/>
        <w:rPr/>
      </w:pPr>
      <w:r>
        <w:rPr/>
        <w:t> </w:t>
      </w:r>
    </w:p>
    <w:p>
      <w:pPr>
        <w:pStyle w:val="TextBody"/>
        <w:bidi w:val="0"/>
        <w:jc w:val="center"/>
        <w:rPr/>
      </w:pPr>
      <w:r>
        <w:rPr/>
        <w:drawing>
          <wp:inline distT="0" distB="0" distL="0" distR="0">
            <wp:extent cx="6400800" cy="1971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00800" cy="1971675"/>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Results from the 36-week double-blind period were presented in a late-breaking oral presentation at the European Renal Association 2023 conference and published in </w:t>
      </w:r>
      <w:r>
        <w:rPr>
          <w:rFonts w:ascii="Times New Roman" w:hAnsi="Times New Roman"/>
          <w:i/>
          <w:color w:val="000000"/>
          <w:sz w:val="20"/>
        </w:rPr>
        <w:t>Kidney International</w:t>
      </w:r>
      <w:r>
        <w:rPr>
          <w:rFonts w:ascii="Times New Roman" w:hAnsi="Times New Roman"/>
          <w:color w:val="000000"/>
          <w:sz w:val="20"/>
        </w:rPr>
        <w:t xml:space="preserve"> in 2024. The primary endpoint was met at 24 weeks as the mean UPCR was reduced from baseline by 31% in the combined atacicept group (defined as atacicept 75 mg and 150 mg groups) vs 8% with placebo, resulting in a statistically significant 25% reduction with atacicept vs placebo.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the 36-week randomized period were consistent with a profile of disease modification in IgAN: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Gd-IgA1 reduction of 64% from baseline with atacicept 150 mg.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Hematuria resolution in 80% of participants on atacicept 150 mg vs 5% on placebo.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150 mg achieved a 35% reduction vs placebo.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Stable eGFR observed for participants on atacicept, with clinically meaningful difference of 5.8 mL/min/1.73m</w:t>
      </w:r>
      <w:r>
        <w:rPr>
          <w:rFonts w:ascii="Times New Roman" w:hAnsi="Times New Roman"/>
          <w:color w:val="000000"/>
          <w:sz w:val="13"/>
        </w:rPr>
        <w:t>2</w:t>
      </w:r>
      <w:r>
        <w:rPr>
          <w:color w:val="000000"/>
        </w:rPr>
        <w:t xml:space="preserve"> </w:t>
      </w:r>
      <w:r>
        <w:rPr>
          <w:rFonts w:ascii="Times New Roman" w:hAnsi="Times New Roman"/>
          <w:color w:val="000000"/>
          <w:sz w:val="20"/>
        </w:rPr>
        <w:t>vs placebo.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Atacicept was well tolerated, with a similar safety profile to placebo.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long-term results from the ORIGIN Phase 2b trial were simultaneously presented in a late-breaking oral presentation at ASN Kidney Week and published in the Journal of the American Society of Nephrology (JASN). Over 96 weeks, participants treated with atacicept demonstrated a 66% reduction in Gd-IgA1, resolution of hematuria in 75% of participants, a 52% reduction in proteinuria, and a mean annualized eGFR slope of -0.6 mL/min/1.73m2/year. This eGFR slope profile is consistent with the aging-related decline observed in the general population without biopsy-proven kidney disease. </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5: ORIGIN Phase 2b long-term 96-week results with atacicept was consistent with disease-modifying IgAN profile</w:t>
      </w:r>
    </w:p>
    <w:p>
      <w:pPr>
        <w:pStyle w:val="TextBody"/>
        <w:bidi w:val="0"/>
        <w:jc w:val="center"/>
        <w:rPr/>
      </w:pPr>
      <w:r>
        <w:rPr/>
        <w:t> </w:t>
      </w:r>
    </w:p>
    <w:p>
      <w:pPr>
        <w:pStyle w:val="TextBody"/>
        <w:bidi w:val="0"/>
        <w:spacing w:before="120" w:after="283"/>
        <w:jc w:val="center"/>
        <w:rPr/>
      </w:pPr>
      <w:r>
        <w:rPr/>
        <w:drawing>
          <wp:inline distT="0" distB="0" distL="0" distR="0">
            <wp:extent cx="6038850" cy="2895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38850" cy="28956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randomized phase of the ORIGIN Phase 2b clinical trial, the clinical safety profile was similar between atacicept and placebo. The cumulative generally favorable safety profile of atacicept remained consistent with that observed during the randomized period (Figure 6), with a 90% completion rate of atacicept treatment in the open-label extension period. We believe these data support the potential for atacicept to offer long-term, comprehensive IgAN disease modification and provide further confidence in the ongoing pivotal ORIGIN 3 trial of atacicept in IgAN.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6: Phase 2b ORIGIN clinical trial adverse events profile</w:t>
      </w:r>
    </w:p>
    <w:p>
      <w:pPr>
        <w:pStyle w:val="TextBody"/>
        <w:bidi w:val="0"/>
        <w:jc w:val="center"/>
        <w:rPr/>
      </w:pPr>
      <w:r>
        <w:rPr/>
        <w:t> </w:t>
      </w:r>
    </w:p>
    <w:p>
      <w:pPr>
        <w:pStyle w:val="TextBody"/>
        <w:bidi w:val="0"/>
        <w:jc w:val="center"/>
        <w:rPr/>
      </w:pPr>
      <w:r>
        <w:rPr/>
        <w:drawing>
          <wp:inline distT="0" distB="0" distL="0" distR="0">
            <wp:extent cx="6953250" cy="3200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53250" cy="3200400"/>
                    </a:xfrm>
                    <a:prstGeom prst="rect">
                      <a:avLst/>
                    </a:prstGeom>
                  </pic:spPr>
                </pic:pic>
              </a:graphicData>
            </a:graphic>
          </wp:inline>
        </w:drawing>
      </w:r>
    </w:p>
    <w:p>
      <w:pPr>
        <w:pStyle w:val="TextBody"/>
        <w:bidi w:val="0"/>
        <w:jc w:val="left"/>
        <w:rPr>
          <w:rFonts w:ascii="Times New Roman" w:hAnsi="Times New Roman"/>
          <w:b/>
          <w:i/>
          <w:color w:val="000000"/>
          <w:sz w:val="20"/>
        </w:rPr>
      </w:pPr>
      <w:r>
        <w:rPr>
          <w:rFonts w:ascii="Times New Roman" w:hAnsi="Times New Roman"/>
          <w:b/>
          <w:i/>
          <w:color w:val="000000"/>
          <w:sz w:val="20"/>
        </w:rPr>
        <w:t>Ongoing Phase 3 ORIGIN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advanced atacicept 150 mg into a pivotal Phase 3 trial in IgAN in the second quarter of 2023, using the same formulation from the Phase 2b trial and learnings from the Phase 2b subgroup analyses to reduce risk in the design of a Phase 3 trial that aims to accurately assess treatment efficacy while minimizing potential confounders for proteinuria measure.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7: Phase 3 ORIGIN 3 trial design</w:t>
      </w:r>
    </w:p>
    <w:p>
      <w:pPr>
        <w:pStyle w:val="TextBody"/>
        <w:bidi w:val="0"/>
        <w:jc w:val="center"/>
        <w:rPr/>
      </w:pPr>
      <w:r>
        <w:rPr/>
        <w:t> </w:t>
      </w:r>
    </w:p>
    <w:p>
      <w:pPr>
        <w:pStyle w:val="TextBody"/>
        <w:bidi w:val="0"/>
        <w:jc w:val="center"/>
        <w:rPr/>
      </w:pPr>
      <w:r>
        <w:rPr/>
        <w:drawing>
          <wp:inline distT="0" distB="0" distL="0" distR="0">
            <wp:extent cx="6400800" cy="1104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00800" cy="1104900"/>
                    </a:xfrm>
                    <a:prstGeom prst="rect">
                      <a:avLst/>
                    </a:prstGeom>
                  </pic:spPr>
                </pic:pic>
              </a:graphicData>
            </a:graphic>
          </wp:inline>
        </w:drawing>
      </w:r>
    </w:p>
    <w:p>
      <w:pPr>
        <w:pStyle w:val="TextBody"/>
        <w:bidi w:val="0"/>
        <w:spacing w:before="12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 3 is a Phase 3 global, multicenter, randomized, placebo-controlled, double-blind trial (Figure 7) in participants with IgAN who have persistent proteinuria and remain at high risk of disease progression despite being on a stable prescribed regimen of renin-angiotensin system inhibitors (ACE inhibitors or ARBs) for at least 12 weeks that is the maximum labeled or tolerated dose, with the use of SGLT2 inhibitors (SGLT2i) also allowed. The clinical trial consists of a 104-week double-blind treatment period which is currently ongoing, followed by a 52-week open-label extension and a 26-week safety follow-up period. The trial assesses at-home self-administered once weekly 1-mL subcutaneous injections of atacicept 150 mg versus placebo for impact on kidney function as measured by proteinuria and eGFR. The primary endpoint is change from baseline in UPCR at 36 weeks based on 24-hour urine collection and the key secondary endpoint is change from baseline in eGFR at 104 weeks. Additional secondary endpoints are change in Gd-IgA1, hematuria resolution, change in eGFR at 52 weeks, and time from randomization to first occurrence of composite kidney failure endpoint event. In accordance with guidance from regulatory authorities to sponsors of registrational trials in IgAN, eGFR results are not reported while the trial is ongoing.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completed enrollment for the Phase 3 primary endpoint cohort in September 2024 and full enrollment of the study in April 2025. In June 2025, we announced that atacicept met the primary endpoint. In November 2025, we presented additional results from the 36-week interim analysis in a featured oral presentation during the ASN Kidney Week opening plenary session, with simultaneous publication in </w:t>
      </w:r>
      <w:r>
        <w:rPr>
          <w:rFonts w:ascii="Times New Roman" w:hAnsi="Times New Roman"/>
          <w:i/>
          <w:color w:val="000000"/>
          <w:sz w:val="20"/>
        </w:rPr>
        <w:t>The New England Journal of Medicine.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total of 428 participants were randomized and treated, with 214 in the atacicept group and 214 in the placebo group. Of the 203 patients included in the 36-week interim efficacy analysis, 99/106 (93%) in the atacicept group and 84/97 (87%) in the placebo group remained on treatment after 36 weeks. The baseline demographics and characteristics for the ORIGIN 3 participants were similar to the previous ORIGIN 2b trial, with the exception of a higher percentage of patients on SGLT2i in the Phase 3 trial, reflecting evolving clinical practices.</w:t>
      </w:r>
    </w:p>
    <w:p>
      <w:pPr>
        <w:pStyle w:val="TextBody"/>
        <w:bidi w:val="0"/>
        <w:jc w:val="center"/>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8: Demographics and baseline characteristics of ORIGIN 3 and ORIGIN 2b</w:t>
      </w:r>
    </w:p>
    <w:p>
      <w:pPr>
        <w:pStyle w:val="TextBody"/>
        <w:bidi w:val="0"/>
        <w:jc w:val="center"/>
        <w:rPr/>
      </w:pPr>
      <w:r>
        <w:rPr/>
        <w:drawing>
          <wp:inline distT="0" distB="0" distL="0" distR="0">
            <wp:extent cx="5581650" cy="3076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81650" cy="307657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endpoint for the interim analysis was the change in UPCR at 36 weeks. Participants receiving atacicept had a 46% reduction in UPCR and the placebo-treated participants had a 7% reduction. Using a mixed effects model, the difference between the groups was statistically significant at 42% (p&lt;0.0001).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9: Primary endpoint of UPCR reduction through 36 weeks</w:t>
      </w:r>
    </w:p>
    <w:p>
      <w:pPr>
        <w:pStyle w:val="TextBody"/>
        <w:bidi w:val="0"/>
        <w:jc w:val="center"/>
        <w:rPr/>
      </w:pPr>
      <w:r>
        <w:rPr/>
        <w:drawing>
          <wp:inline distT="0" distB="0" distL="0" distR="0">
            <wp:extent cx="6953250" cy="3705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53250" cy="3705225"/>
                    </a:xfrm>
                    <a:prstGeom prst="rect">
                      <a:avLst/>
                    </a:prstGeom>
                  </pic:spPr>
                </pic:pic>
              </a:graphicData>
            </a:graphic>
          </wp:inline>
        </w:drawing>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effect of atacicept on UPCR reduction was consistent across prespecified subgroups of age, sex, region, race, baseline proteinuria, baseline eGFR, and baseline SGLT2i use (Figure 10).</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10: UPCR reduction across prespecified subgroups at 36 weeks</w:t>
      </w:r>
    </w:p>
    <w:p>
      <w:pPr>
        <w:pStyle w:val="TextBody"/>
        <w:bidi w:val="0"/>
        <w:jc w:val="center"/>
        <w:rPr/>
      </w:pPr>
      <w:r>
        <w:rPr/>
        <w:drawing>
          <wp:inline distT="0" distB="0" distL="0" distR="0">
            <wp:extent cx="6953250" cy="3419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953250" cy="3419475"/>
                    </a:xfrm>
                    <a:prstGeom prst="rect">
                      <a:avLst/>
                    </a:prstGeom>
                  </pic:spPr>
                </pic:pic>
              </a:graphicData>
            </a:graphic>
          </wp:inline>
        </w:drawing>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Secondary endpoint results with atacicept were consistent with the Phase 2b study, with a 67% reduction in Gd-IgA1, and an 81% reduction in hematuria in participants with baseline hematuria (Figure 11).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11: Gd-IgA1 reduction and hematuria resolution through 36 weeks</w:t>
      </w:r>
    </w:p>
    <w:p>
      <w:pPr>
        <w:pStyle w:val="TextBody"/>
        <w:bidi w:val="0"/>
        <w:jc w:val="center"/>
        <w:rPr/>
      </w:pPr>
      <w:r>
        <w:rPr/>
        <w:drawing>
          <wp:inline distT="0" distB="0" distL="0" distR="0">
            <wp:extent cx="6953250" cy="2914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53250" cy="2914650"/>
                    </a:xfrm>
                    <a:prstGeom prst="rect">
                      <a:avLst/>
                    </a:prstGeom>
                  </pic:spPr>
                </pic:pic>
              </a:graphicData>
            </a:graphic>
          </wp:inline>
        </w:drawing>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Across the ORIGIN program in IgAN, the safety profile of atacicept appears favorable, and comparable to placebo. In the ORIGIN 3 safety analysis set (atacicept n=214, placebo n=214), the incidence of adverse events was generally balanced between the atacicept and placebo groups, with numerically fewer serious adverse events reported with atacicept (n=1 [0.5%]) than placebo (n=11 [5%]). There were more discontinuations due to adverse events in placebo treated participants, and the rates of infections were balanced. The one adverse event that was higher in atacicept treated individuals was the rate of injection site reactions; these were mild to moderate, and did not lead to discontinuation. There was a higher number of hypersensitivity reactions in placebo treated individuals. </w:t>
      </w:r>
    </w:p>
    <w:p>
      <w:pPr>
        <w:pStyle w:val="TextBody"/>
        <w:bidi w:val="0"/>
        <w:jc w:val="left"/>
        <w:rPr>
          <w:rFonts w:ascii="Times New Roman" w:hAnsi="Times New Roman"/>
          <w:color w:val="000000"/>
          <w:sz w:val="20"/>
        </w:rPr>
      </w:pPr>
      <w:r>
        <w:rPr>
          <w:rFonts w:ascii="Times New Roman" w:hAnsi="Times New Roman"/>
          <w:color w:val="000000"/>
          <w:sz w:val="20"/>
        </w:rPr>
        <w:t>Atacicept treatment led to reductions in serum immunoglobulin (Ig) levels consistent with its mechanism of B-cell modulation, but without evidence of B-cell depletion or immunosuppression: there were no reported cases of hypogammaglobulinemia (IgG &lt;3 g/dL) and no serious, severe, or opportunistic infections. There were no deaths in either treatment group. (Figure 12)</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Figure 12: Adverse event profile</w:t>
      </w:r>
    </w:p>
    <w:p>
      <w:pPr>
        <w:pStyle w:val="TextBody"/>
        <w:bidi w:val="0"/>
        <w:jc w:val="center"/>
        <w:rPr/>
      </w:pPr>
      <w:r>
        <w:rPr/>
        <w:drawing>
          <wp:inline distT="0" distB="0" distL="0" distR="0">
            <wp:extent cx="4572000" cy="3209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572000" cy="3209925"/>
                    </a:xfrm>
                    <a:prstGeom prst="rect">
                      <a:avLst/>
                    </a:prstGeom>
                  </pic:spPr>
                </pic:pic>
              </a:graphicData>
            </a:graphic>
          </wp:inline>
        </w:drawing>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FDA granted priority review to the BLA for atacicept in IgAN and assigned a PDUFA target action date of July 7, 2026. If approved, atacicept would be the first B cell modulator targeting both BAFF and APRIL for IgAN, offering patients an autoinjector for at-home self-administration.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ORIGIN EXTEND Phase 2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the ORIGIN EXTEND trial, a Phase 2 extension study in participants who complete ORIGIN Phase 2b or Phase 3. The objectives of the trial are to 1) capture longer-term safety and efficacy data of atacicept treatment, 2) evaluate the effect of reinitiation of atacicept treatment following an off-treatment period and 3) provide eligible participants with extended access to atacicept prior to commercial availability in their country or region. We anticipate clinical results from the trial in 2026.</w:t>
      </w:r>
    </w:p>
    <w:p>
      <w:pPr>
        <w:pStyle w:val="TextBody"/>
        <w:bidi w:val="0"/>
        <w:jc w:val="left"/>
        <w:rPr>
          <w:rFonts w:ascii="Times New Roman" w:hAnsi="Times New Roman"/>
          <w:b/>
          <w:i/>
          <w:color w:val="000000"/>
          <w:sz w:val="20"/>
        </w:rPr>
      </w:pPr>
      <w:r>
        <w:rPr>
          <w:rFonts w:ascii="Times New Roman" w:hAnsi="Times New Roman"/>
          <w:b/>
          <w:i/>
          <w:color w:val="000000"/>
          <w:sz w:val="20"/>
        </w:rPr>
        <w:t>PIONEER Phase 2 clinical trial to assess Atacicept in pMN, FSGS, and MCD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positive results of the ORIGIN program, in August 2025 we initiated the PIONEER trial, a global, open label, Phase 2 basket trial evaluating the safety and initial signals of efficacy of atacicept in an expanded cohort of IgAN patients and other autoimmune-mediated glomerular diseases. The expanded IgAN cohort includes participants aged 10 years or older, IgA vasculitis nephritis, and lower baseline thresholds for proteinuria and eGFR than were studied in ORIGIN 3. The trial also includes cohorts with additional autoimmune glomerular diseases characterized by the presence of antibodies to glomerular antigens, including pMN, FSGS, and MCD. We anticipate clinical results from the trial in 2026.</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Atacicept in pMN</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pMN Pathophysiology and Disease Overview</w:t>
      </w:r>
    </w:p>
    <w:p>
      <w:pPr>
        <w:pStyle w:val="TextBody"/>
        <w:bidi w:val="0"/>
        <w:jc w:val="left"/>
        <w:rPr>
          <w:rFonts w:ascii="Times New Roman" w:hAnsi="Times New Roman"/>
          <w:color w:val="000000"/>
          <w:sz w:val="20"/>
        </w:rPr>
      </w:pPr>
      <w:r>
        <w:rPr>
          <w:rFonts w:ascii="Times New Roman" w:hAnsi="Times New Roman"/>
          <w:color w:val="000000"/>
          <w:sz w:val="20"/>
        </w:rPr>
        <w:t>pMN is an autoimmune disease characterized by glomerular membrane thickening and long-term proteinuria. pMN patients are initially treated with ACEi / ARBs, and upon progression typically are treated with either immunosuppressive or CD20 therapies. Despite proper management, patients still progress to ESKD, highlighting the need for a more effective standard of care.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pMN Market Opportunity, Current Standard of Care, and Our Proposed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approximately 50,000 patients in the United States with pMN. In 70-80% of cases, inflammation of the renal glomeruli is caused by autoantibodies targeting PLA2R and thrombospondin type 1 domain-containing 7A (THSD7A). The remaining 20-30% of cases develop as a secondary condition due to underlying issues such as infections, other autoimmune diseases, tumors, or drug poisoning. Most patients with biopsy-confirmed pMN have circulating anti-PLA2R autoantibodies, with approximately 70% of pMN cases associated with anti-PLA2R+ antibodies, and 65% of these cases considered moderate-to-severe. According to current KDIGO guidelines, PLA2R is recognized as a crucial diagnostic marker, eliminating the need for a kidney biopsy if the patient is seropositive for PLA2R and exhibits clinical symptoms. Additionally, the concentration of anti-PLA2R antibodies provides insights into disease activity and progression, serving as a clinical criterion for assessing the risk of progressive renal failure in pMN patients: 1) higher antibody concentrations indicate more active pMN and a greater risk of kidney failure, and 2) monitoring antibody levels can predict phases of clinical remission and relapses, as changes in anti-PLA2R antibody levels typically precede improvements or worsening of the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treatments tackle the autoimmune aspect of pMN through B-cell depletion (e.g., agents such as rituximab) or immunosuppression via cyclophosphamide / high dose steroids; these therapies have been associated with significant toxicity. With no FDA-approved pMN therapies, significant unmet need remains for efficacious and safe agents, including those that can reduce adverse events associated with immunosuppressant therapy, offer benefit for the ~40% of patients that are refractory to rituximab, and further reduce disease progression to CKD and ESKD.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more targeted approach that focuses on modulating autoimmune B-cell production, rather than broad immunosuppression, may offer a potential solution. Autoreactive B-cells are implicated in the immunopathogenesis of pMN, with PLA2R identified as the target antigen for the typical IgG deposition observed in renal biopsies. While immunosuppressive treatments have shown reductions in PLA2R autoantibody (PLA2R-Ab) levels, patients with higher serum levels of both BAFF and APRIL are less likely to achieve clinical remission on standard immunosuppressive therapy. Additionally, the BAFF-targeting immunomodulator belimumab has been shown to improve proteinuria and PLA2R titers in an open-label trial. This supports the rationale for using other treatments involving B-cell modulation, such as atacicept. Atacicept's ability to block pathogenic B-cell activation via BAFF and APRIL cytokine binding suggests it may be effective in treating pMN, particularly in patients who have been treated with immunosuppressive therapies but still maintain high BAFF and APRIL serum levels.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Atacicept in FSGS and MCD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FSGS and MCD Pathophysiology and Disease 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FSGS is characterized by histological lesions (scarring) on kidney glomeruli, manifestations of proteinuria &amp; hypoalbuminemia, and chronic kidney disease, which can present at any age. FSGS often presents with nephrotic syndrome manifestations, including high-grade proteinuria (&gt;3.5 g/day), hypoalbuminemia, and edema, with 30 – 40% progressing to ESKD by 10 years. Nephrin is a transmembrane protein found in kidney podocytes, plays a significant role in maintaining the integrity and function of the glomerular filtration barrier, and it can be used as a biomarker for early glomerular injury, since elevated levels of nephrin in the urine (nephrinuria)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indicate damage to the podocytes and the filtration barrier. Recently, anti-nephrin antibodies were identified in ~10% of primary FSGS patients, indicating potential autoimmune involvement in the disease pathology and demonstrating a strong correlation to urine albumin-to-creatinine ratio (uACR).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MCD is a kidney disorder that leads to glomeruli damage and is characterized by sudden onset of nephrotic syndrome, including increased proteinuria, edema, and hypoalbuminemia. Immune dysregulation, including the presence of autoantibodies against nephrin and other podocyte components, contributes to podocyte injury and disease progression. MCD accounts for 70 – 90% of pediatric and 15% of adult idiopathic nephrotic syndrome patients. MCD is distinguished from other nephrotic diseases based on sudden onset of clinical features such as proteinuria (i.e., days/weeks vs. months) and distinct morphological features (e.g., podocyte effacement, normal glomerulus) based on kidney biopsy. Approximately two-thirds of adult patients with MCD and active nephrotic syndrome have anti-nephrin autoantibodies, while this figure rises to about 90% in children with idiopathic nephrotic syndrome.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FSGS and MCD Market Opportunity, Current Standard of Care, and Our Proposed Solution</w:t>
      </w:r>
    </w:p>
    <w:p>
      <w:pPr>
        <w:pStyle w:val="TextBody"/>
        <w:bidi w:val="0"/>
        <w:jc w:val="left"/>
        <w:rPr>
          <w:rFonts w:ascii="Times New Roman" w:hAnsi="Times New Roman"/>
          <w:color w:val="000000"/>
          <w:sz w:val="20"/>
        </w:rPr>
      </w:pPr>
      <w:r>
        <w:rPr>
          <w:rFonts w:ascii="Times New Roman" w:hAnsi="Times New Roman"/>
          <w:color w:val="000000"/>
          <w:sz w:val="20"/>
        </w:rPr>
        <w:t>There are approximately 44,000 diagnosed primary FSGS patients in the United States, of which approximately 7,000 may be identified as auto-immune assuming improved diagnostic methods. Primary FSGS patients are typically treated with background ACEi / ARBs, followed by sequencing steroids, calcineurin inhibitors (CNIs), immunosuppressive therapies (ISTs), and / or rituximab, with the aim to preserve kidney function and reduce risk to ESKD. Despite the current standard of care (which includes steroids, CNIs), there is persistent unmet need as up to 40% of patients reach ESKD and there are no FDA-approved disease-modifying drugs. Given the severity of clinical symptoms (e.g., ESKD risk), autoimmune FSGS patients would benefit from novel, efficacious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approximately 15,000 adult MCD patients and almost 10,000 pediatric MCD patients in the United States. Recently, anti-nephrin antibodies were identified in approximately 50% of pediatric MCD and adult MCD patients, indicating potential autoimmune involvement in disease pathology, which correlated to higher uACR and serum albumin levels. Patients are typically managed via steroids or other immunosuppressive therapies including cyclophosphamide, mycophenalate mofetil (MMF) and Levamisole. Additional treatments include diuretics for edema, ACE inhibitors or ARBs to reduce proteinuria, and dietary changes like a low-sodium diet. No FDA-approved therapies are currently available for MCD.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autoimmune involvement in the disease pathology for at least some sub-populations of FSGS and MCD patients, potentially via B-cell mediated immune/inflammatory pathways, as demonstrated by response to rituximab in some patients, there is reason to believe that therapies that inhibit the proliferation and maturation of auto-reactive B-cells, such as atacicept, may be efficacious. </w:t>
      </w:r>
    </w:p>
    <w:p>
      <w:pPr>
        <w:pStyle w:val="TextBody"/>
        <w:bidi w:val="0"/>
        <w:jc w:val="left"/>
        <w:rPr>
          <w:rFonts w:ascii="Times New Roman" w:hAnsi="Times New Roman"/>
          <w:b/>
          <w:color w:val="000000"/>
          <w:sz w:val="20"/>
        </w:rPr>
      </w:pPr>
      <w:r>
        <w:rPr>
          <w:rFonts w:ascii="Times New Roman" w:hAnsi="Times New Roman"/>
          <w:b/>
          <w:color w:val="000000"/>
          <w:sz w:val="20"/>
        </w:rPr>
        <w:t>MAU868 in reactivated BK infection among kidney transplant recipients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exclusive worldwide rights, pursuant to the Novartis License, to MAU868, which is a potential treatment for reactivated BK infection in kidney transplant recipients. While up to 90% of healthy adults have been infected with BKV at some point in their lives, it remains latent in everyone except severely immunocompromised populations such as kidney transplant recipients. There are approximately 80,000 kidney transplants annually worldwide, with approximately 20,000 in the United States. Approximately 225,000 kidney allograft recipients are living in the United States. Waitlists to receive kidneys are long: approximately 3–5 years and 75,000 people long in the United States. Up to 12% of transplants per year are re-transplants, which further limits organ availability for new patients. BKV is a polyoma virus that is tropic to the kidney and bladder tissue and can reactivate with the immunosuppression required for kidney transplant. This reactivation can cause BKVN, a condition in which BK infection, typically first identified as BK viremia, triggers inflammation, which then progresses to renal fibrosis and tubular injury; as shown in Figure 13, BKVN is a leading cause of allograft loss, a devastating outcome for kidney transplant recipients.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13: Graft survival (%) in kidney transplant patients is worse with BKVN</w:t>
      </w:r>
    </w:p>
    <w:p>
      <w:pPr>
        <w:pStyle w:val="TextBody"/>
        <w:bidi w:val="0"/>
        <w:jc w:val="left"/>
        <w:rPr/>
      </w:pPr>
      <w:r>
        <w:rPr/>
        <w:t> </w:t>
      </w:r>
    </w:p>
    <w:p>
      <w:pPr>
        <w:pStyle w:val="TextBody"/>
        <w:bidi w:val="0"/>
        <w:jc w:val="center"/>
        <w:rPr/>
      </w:pPr>
      <w:r>
        <w:rPr/>
        <w:drawing>
          <wp:inline distT="0" distB="0" distL="0" distR="0">
            <wp:extent cx="3657600" cy="2124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12407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are no approved treatment options for BK viremia or BKVN. We shared full Cohort 1 and Cohort 2 results in 2022 from the Phase 2 trial conducted by Amplyx. Following feedback from the FDA on the Phase 2 clinical trial, we are evaluating strategies for continued development, including a potential next clinical trial. We believe that MAU868 has the potential to become standard of care for the treatment of BK viremia in order to prevent devastating consequences such as BKVN.</w:t>
      </w:r>
    </w:p>
    <w:p>
      <w:pPr>
        <w:pStyle w:val="TextBody"/>
        <w:bidi w:val="0"/>
        <w:jc w:val="left"/>
        <w:rPr>
          <w:rFonts w:ascii="Times New Roman" w:hAnsi="Times New Roman"/>
          <w:b/>
          <w:i/>
          <w:color w:val="000000"/>
          <w:sz w:val="20"/>
        </w:rPr>
      </w:pPr>
      <w:r>
        <w:rPr>
          <w:rFonts w:ascii="Times New Roman" w:hAnsi="Times New Roman"/>
          <w:b/>
          <w:i/>
          <w:color w:val="000000"/>
          <w:sz w:val="20"/>
        </w:rPr>
        <w:t>Pathophysiology of BKV in kidney transplant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BKV has a worldwide seroprevalence of up to 90%. Primary BK infection is typically acquired during childhood, after which the virus establishes lifelong infection in the kidney and bladder tissue. Most people do not experience any known adverse effects from either primary or persistent infection. Control of infection is dependent on CD4+ and CD8+ T cell immunity, which can be displaced by immunosuppressants. In the setting of kidney transplant and related immunosuppression, latent virus can be reactivated or new virus can be transmitted via the donor kidney. BKV reactivation is marked first by viruria—or detection of virus in the urine, and then viremia—detection of viral DNA in the blood, and most commonly occurs within the first year of transplant.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Viremia typically occurs in 15% of kidney transplant recipients, after which BKVN may occur. Approximately 3-4% of kidney transplant recipients develop BKVN.</w:t>
      </w:r>
    </w:p>
    <w:p>
      <w:pPr>
        <w:pStyle w:val="TextBody"/>
        <w:bidi w:val="0"/>
        <w:jc w:val="left"/>
        <w:rPr>
          <w:rFonts w:ascii="Times New Roman" w:hAnsi="Times New Roman"/>
          <w:b/>
          <w:i/>
          <w:color w:val="000000"/>
          <w:sz w:val="20"/>
        </w:rPr>
      </w:pPr>
      <w:r>
        <w:rPr>
          <w:rFonts w:ascii="Times New Roman" w:hAnsi="Times New Roman"/>
          <w:b/>
          <w:i/>
          <w:color w:val="000000"/>
          <w:sz w:val="20"/>
        </w:rPr>
        <w:t>BKVN disease burden and diagnosis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BKVN may lead to allograft injury and in some cases, allograft loss. 24–60% of all graft losses are due to BKV-associated disease. The average cost of a kidney transplant in the United States is over $440,000. Pre-transplant, recipients are typically on dialysis, for which the cost is approximately $90,000 per year; there is an approximate 450% increase in annual medical cost to treat transplant recipients who experience graft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institutions monitor for BK in both the urine, through polymerase chain reaction (PCR) and urinalysis, and plasma, via PCR. It is common practice to screen kidney transplant recipients for BK viremia via PCR test monthly in the first six months post-transplant and then every three months until two years post-transplant, after which patients are typically screened annually. Also, at any sign of allograft dysfunction, physicians will test for BK viremia. Viral load levels &gt;1000 copies/mL are considered positive for BK viremia, and levels &gt;10,000 copies/mL are considered presumptive BKVN. Kidney allograft biopsy is considered the gold standard for diagnosing BKVN. Late diagnosis of BKV can lead to irreversible renal function decline and poor treatment outcomes.</w:t>
      </w:r>
    </w:p>
    <w:p>
      <w:pPr>
        <w:pStyle w:val="TextBody"/>
        <w:bidi w:val="0"/>
        <w:jc w:val="left"/>
        <w:rPr>
          <w:rFonts w:ascii="Times New Roman" w:hAnsi="Times New Roman"/>
          <w:b/>
          <w:i/>
          <w:color w:val="000000"/>
          <w:sz w:val="20"/>
        </w:rPr>
      </w:pPr>
      <w:r>
        <w:rPr>
          <w:rFonts w:ascii="Times New Roman" w:hAnsi="Times New Roman"/>
          <w:b/>
          <w:i/>
          <w:color w:val="000000"/>
          <w:sz w:val="20"/>
        </w:rPr>
        <w:t>Kidney transplant 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estimated 80,000 kidney transplants are conducted globally each year, with approximately 20,000 in the United States, 20,000 in Europe, 1,500 in Japan, and 10,000 in China. Approximately 225,000 kidney allograft recipients are living in the United States. Waitlists to receive kidneys are long: 3–5 years and 75,000 people deep in the United States. Up to 12% of transplants per year are re-transplants, which further limits organ availability for new patients. Approximately 15% of kidney transplant recipients develop BK viremia. Patients can be risk stratified for BK viremia based on the degree of immunosuppression employed, which is related to the degree of human leukocyte antigen (HLA) match between the graft and recipient; the greater the mismatch, the more intense immunosuppression required, which increases the risk of BKV reactivation.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the market for a novel agent to treat reactivated BK infection in kidney transplant recipients to be a large commercial opportunity. We believe that MAU868 has the potential to become standard of care for the treatment of reactivated BK infection in order to prevent devastating consequences following kidney transplantation such as BKVN and graft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Current standard of care for kidney transplant patients with BK viremia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is no approved treatment specific to BKV. Upon detection of BK viremia, physicians’ first line of defense is to reduce immunosuppression with the goal of restoring CD4+ and CD8+ T cell immunity without causing acute rejection. Initial modification will typically consist of lowering MMF by 50% followed by a reduction in tacrolimus by 50%. If no improvement is observed, use of MMF and tacrolimus will be stopped and dose of prednisone will be increased. Other agents such as intravenous immunoglobulin (IVIG), leflunomide, and cidofovir, are occasionally used—but all have limited data and both leflunomide and cidofovir have serious safety concerns. After development of BKVN, patients have limited options and may continue to receive antivirals or IVIG. Physicians are not satisfied with current treatment options for BKV and highlight that there is a significant unmet need for a viable therapy.</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Emerging therapies in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high level of unmet need in treating BK viremia and preventing devastating consequences, there is limited development in the space. Memo Therapeutics is also developing a BKV-neutralizing monoclonal antibody and is in Phase 2 clinical development.</w:t>
      </w:r>
    </w:p>
    <w:p>
      <w:pPr>
        <w:pStyle w:val="TextBody"/>
        <w:bidi w:val="0"/>
        <w:jc w:val="left"/>
        <w:rPr>
          <w:rFonts w:ascii="Times New Roman" w:hAnsi="Times New Roman"/>
          <w:b/>
          <w:i/>
          <w:color w:val="000000"/>
          <w:sz w:val="20"/>
        </w:rPr>
      </w:pPr>
      <w:r>
        <w:rPr>
          <w:rFonts w:ascii="Times New Roman" w:hAnsi="Times New Roman"/>
          <w:b/>
          <w:i/>
          <w:color w:val="000000"/>
          <w:sz w:val="20"/>
        </w:rPr>
        <w:t>Our solution: MAU868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MAU868 is a human monoclonal antibody (IgG1/l isotype subclass) directed against the major viral capsid protein of BKV, VP1, which is essential for binding to and infection of new cells, as shown in Figure 14. MAU868 neutralizes all four serotypes of BKV at sub-nanomolar concentrations and has a high barrier to resistance in vitro (resistant isolates of BKV were not selected in vitro at any of the concentrations of MAU868 investigated). MAU868 is being developed for the treatment of BKV disease in kidney transplant recipients (BKV nephropathy) and being considered for hematopoietic stem cell transplant (HSCT) recipients (BKV-associated hemorrhagic cystitis). MAU868 also has neutralizing activity in vitro against the closely related JC virus, the cause of progressive multifocal leukoencephalopathy.</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Figure 14: MAU868 blocks BK virion binding</w:t>
      </w:r>
    </w:p>
    <w:p>
      <w:pPr>
        <w:pStyle w:val="TextBody"/>
        <w:bidi w:val="0"/>
        <w:jc w:val="left"/>
        <w:rPr/>
      </w:pPr>
      <w:r>
        <w:rPr/>
        <w:t> </w:t>
      </w:r>
    </w:p>
    <w:p>
      <w:pPr>
        <w:pStyle w:val="TextBody"/>
        <w:bidi w:val="0"/>
        <w:jc w:val="center"/>
        <w:rPr/>
      </w:pPr>
      <w:r>
        <w:rPr/>
        <w:drawing>
          <wp:inline distT="0" distB="0" distL="0" distR="0">
            <wp:extent cx="4695825" cy="3724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695825" cy="37242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of MAU868</w:t>
      </w:r>
    </w:p>
    <w:p>
      <w:pPr>
        <w:pStyle w:val="TextBody"/>
        <w:bidi w:val="0"/>
        <w:jc w:val="left"/>
        <w:rPr>
          <w:rFonts w:ascii="Times New Roman" w:hAnsi="Times New Roman"/>
          <w:i/>
          <w:color w:val="000000"/>
          <w:sz w:val="20"/>
        </w:rPr>
      </w:pPr>
      <w:r>
        <w:rPr>
          <w:rFonts w:ascii="Times New Roman" w:hAnsi="Times New Roman"/>
          <w:i/>
          <w:color w:val="000000"/>
          <w:sz w:val="20"/>
        </w:rPr>
        <w:t>Phase 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first-in-human, randomized, blinded, placebo-controlled, single ascending dose study to assess the safety, tolerability, and pharmacokinetics of MAU868 following IV or SC administration to healthy adult subjects was performed. Administration of up to 100 mg/kg MAU868 IV and 3 mg/kg MAU868 SC were well tolerated. No deaths or serious adverse events were reported, and there were no adverse events that led to the discontinuation of the drug or the study.</w:t>
      </w:r>
    </w:p>
    <w:p>
      <w:pPr>
        <w:pStyle w:val="TextBody"/>
        <w:bidi w:val="0"/>
        <w:jc w:val="left"/>
        <w:rPr>
          <w:rFonts w:ascii="Times New Roman" w:hAnsi="Times New Roman"/>
          <w:i/>
          <w:color w:val="000000"/>
          <w:sz w:val="20"/>
        </w:rPr>
      </w:pPr>
      <w:r>
        <w:rPr>
          <w:rFonts w:ascii="Times New Roman" w:hAnsi="Times New Roman"/>
          <w:i/>
          <w:color w:val="000000"/>
          <w:sz w:val="20"/>
        </w:rPr>
        <w:t>Phase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completed a Phase 2 randomized, double-blind, placebo-controlled clinical trial designed to assess the safety, tolerability, and efficacy of MAU868 for the treatment of allograft-threatening BKV infection in kidney (or kidney-pancreas) transplant recipients in 2022. Two sequential cohorts enrolled a total of 28 participants with BK viremia. As shown in Figure 15, each cohort was designed to randomize approximately 12 participants (8 to MAU868 and 4 to placebo), for which Cohort 1 (1350 mg IV approximately every 28 days for a total of 4 doses) and Cohort 2 (6750 mg IV on Day 1, 1350 mg IV every 28 days for 3 additional doses) have completed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clinical trial was to assess the safety and tolerability of MAU868, with secondary objectives to assess the impact of MAU868 on BKV related outcomes. MAU868 has been shown in an interim analysis of week 12 data from Cohorts 1 and 2 to be well-tolerated and showed a greater proportion of participants with decrease in BK plasma viral load versus placebo.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ASN 2022 conference, final results from the Phase 2 clinical trial of MAU868 versus placebo showed that MAU868 was well tolerated and demonstrated clinically meaningful reductions in BK antiviral activity through 36 weeks in kidney transplant patients with BK viremia. </w:t>
      </w:r>
    </w:p>
    <w:p>
      <w:pPr>
        <w:pStyle w:val="TextBody"/>
        <w:bidi w:val="0"/>
        <w:jc w:val="center"/>
        <w:rPr>
          <w:rFonts w:ascii="Times New Roman" w:hAnsi="Times New Roman"/>
          <w:b/>
          <w:color w:val="000000"/>
          <w:sz w:val="20"/>
        </w:rPr>
      </w:pPr>
      <w:r>
        <w:rPr>
          <w:rFonts w:ascii="Times New Roman" w:hAnsi="Times New Roman"/>
          <w:b/>
          <w:color w:val="000000"/>
          <w:sz w:val="20"/>
        </w:rPr>
        <w:t>Figure 15: MAU868 phase 2 clinical trial design</w:t>
      </w:r>
    </w:p>
    <w:p>
      <w:pPr>
        <w:pStyle w:val="TextBody"/>
        <w:bidi w:val="0"/>
        <w:jc w:val="center"/>
        <w:rPr/>
      </w:pPr>
      <w:r>
        <w:rPr/>
        <w:t> </w:t>
      </w:r>
    </w:p>
    <w:p>
      <w:pPr>
        <w:pStyle w:val="TextBody"/>
        <w:bidi w:val="0"/>
        <w:jc w:val="center"/>
        <w:rPr/>
      </w:pPr>
      <w:r>
        <w:rPr/>
        <w:drawing>
          <wp:inline distT="0" distB="0" distL="0" distR="0">
            <wp:extent cx="5467350" cy="1162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67350" cy="11620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feedback from the FDA on the Phase 2 clinical trial, we are evaluating strategies for continued development, including a potential next clinical trial.</w:t>
      </w:r>
    </w:p>
    <w:p>
      <w:pPr>
        <w:pStyle w:val="TextBody"/>
        <w:bidi w:val="0"/>
        <w:jc w:val="left"/>
        <w:rPr>
          <w:rFonts w:ascii="Times New Roman" w:hAnsi="Times New Roman"/>
          <w:b/>
          <w:color w:val="000000"/>
          <w:sz w:val="20"/>
        </w:rPr>
      </w:pPr>
      <w:r>
        <w:rPr>
          <w:rFonts w:ascii="Times New Roman" w:hAnsi="Times New Roman"/>
          <w:b/>
          <w:color w:val="000000"/>
          <w:sz w:val="20"/>
        </w:rPr>
        <w:t>Exclusive license agreement with Ares Trading 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2020, we entered into the Ares Agreement with Ares, an affiliate of Merck, pursuant to which Ares granted us an exclusive worldwide license to certain patents and related know-how to research, develop, manufacture, use and commercialize therapeutic products containing atacicept or any other compound that is covered by a claim of such licensed patents. Pursuant to the Ares Agreement, Ares also transferred inventory of licensed product to us for use in our clinical development of atacicept.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Ares Agreement, we have obligations to use commercially reasonable efforts to develop at least one licensed product, to launch at least one licensed product in a major market country within a specified time frame after receiving marketing approval for such product and to maintain sufficient resources to manufacture and supply licensed products to meet the market demand in each country for which a licensed product has received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under the Ares Agreement, we paid Ares $25.0 million upon delivery and initiation of the transfer of specified information and supply of drug product and drug substance and $15.0 million upon achievement of the FDA’s filing of the BLA for atacicept for IgAN which was paid in January 2026. We are required to pay Ares additional aggregate milestone payments, including $20.0 million upon regulatory approval for IgAN in the U.S., and other potential milestone payments of up to $141.5 million upon the achievement of regulatory filing and approval milestones for other geographic regions and indications, and aggregate milestone payments of up to $515.0 million upon the achievement of specified worldwide aggregate annual net sales milestones, beginning with $15.0 million if net sales reach $250.0 million and $50.0 million if net sales reach $500.0 million. Commencing on the first commercial sale of licensed products, we are obligated to pay tiered royalties of low double-digit to mid-teen percentages on annual net sales of the products covered by the license. Our obligation to pay royalties on a licensed product-by-licensed product and country-by-country basis will expire at the latest of (i) 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 such country with respect to such licensed product.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 we sublicense our rights under the Ares Agreement, we are obligated to pay Ares a percentage ranging from the mid single-digit to the low double-digits of specified sublicensing income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Ares Agreement will expire on a licensed product-by-licensed product and country-by-country basis upon the expiration of our obligation to pay royalties to Ares with respect to such licensed product in such country. We have the right to terminate the Ares Agreement at will upon a specified notice period, provided that such termination is not within two years of the effective date of the Ares Agreement. Ares has the right to terminate the Ares Agreement in the event we challenge the validity of the licensed patents. Additionally, either party can terminate the Ares Agreement for the other party’s uncured material breach or bankruptcy.</w:t>
      </w:r>
    </w:p>
    <w:p>
      <w:pPr>
        <w:pStyle w:val="TextBody"/>
        <w:bidi w:val="0"/>
        <w:jc w:val="left"/>
        <w:rPr>
          <w:rFonts w:ascii="Times New Roman" w:hAnsi="Times New Roman"/>
          <w:b/>
          <w:color w:val="000000"/>
          <w:sz w:val="20"/>
        </w:rPr>
      </w:pPr>
      <w:r>
        <w:rPr>
          <w:rFonts w:ascii="Times New Roman" w:hAnsi="Times New Roman"/>
          <w:b/>
          <w:color w:val="000000"/>
          <w:sz w:val="20"/>
        </w:rPr>
        <w:t>Asset purchase agreement with Amplyx and exclusive license with Novartis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2021, we entered into an asset purchase agreement (Amplyx Agreement) with Amplyx.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Amplyx Agreement, we acquired all of Amplyx’s right, title and interest in and to certain assets of Amplyx related to MAU868, a monoclonal antibody that was under development by Amplyx for the treatment of BKV infections (Purchased Assets). The Purchased Assets include an investigational new drug application filed with the U.S. Food and Drug Administration, patents, contracts, including the Novartis License, chemical and biological materials, and development and regulatory files, documentation, data, results and other electronic records related to MAU868. We also assumed certain liabilities of Amplyx arising out of the Purchased Assets. We and Amplyx have made customary representations and warranties and agreed to customary covenants in the Amplyx Agreement. Subject to certain limitations, each of we and Amplyx has also agreed to indemnify the other for breaches of representations and warranties and other specified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consideration under the Amplyx Agreement, we are obligated to make certain milestone payments to Amplyx in an aggregate amount of up to $7.0 million based on certain regulatory milestones. Further, we are required to pay Amplyx low single digit percentage royalties based on net sales on a country-by-country and product-by-product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MAU868 is subject to the Novartis License, which was assigned to us by Amplyx. Pursuant to the terms of the Novartis License, we obtained a worldwide, exclusive license from Novartis to develop, manufacture and commercialize MAU868, subject to certain retained rights for research and development by Novartis, provided that Novartis may not develop or sell products incorporating monoclonal antibody targeting BKV and treating BKV disease within a certain period. We will be solely responsible for all research, development, regulatory, manufacturing and commercialization activities of MAU868. Pursuant to the Novartis License, we are obligated to make certain milestone payments to Novartis in an aggregate amount of up to $62.0 million based on certain clinical development, regulatory and sales milestones. Further, we are required to pay Novartis mid- to high-single digit percentage royalties based on net sales on a country-by-country and product-by-product basis. Unless terminated earlier, the Novartis License will remain in effect with respect to each MAU868 product until the expiration of the royalty term for such product. We may terminate the Novartis License for convenience with 60 days’ prior written notice. We or Novartis may terminate the Novartis License for the other party’s uncured material breach. Novartis may terminate the Novartis License for our insolvency. Upon termination, any license granted by Novartis to us will terminate.</w:t>
      </w:r>
    </w:p>
    <w:p>
      <w:pPr>
        <w:pStyle w:val="TextBody"/>
        <w:bidi w:val="0"/>
        <w:jc w:val="left"/>
        <w:rPr>
          <w:rFonts w:ascii="Times New Roman" w:hAnsi="Times New Roman"/>
          <w:b/>
          <w:color w:val="000000"/>
          <w:sz w:val="20"/>
        </w:rPr>
      </w:pPr>
      <w:r>
        <w:rPr>
          <w:rFonts w:ascii="Times New Roman" w:hAnsi="Times New Roman"/>
          <w:b/>
          <w:color w:val="000000"/>
          <w:sz w:val="20"/>
        </w:rPr>
        <w:t>Exclusive License Agreement with Stanford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13, 2025, we entered into an exclusive license agreement with Stanford to acquire global rights to VT-109, a novel, next-generation dual BAFF/APRIL inhibitor. This agreement enables us to develop and market VT-109 in return for an upfront license issue fee, annual license maintenance fees, development, regulatory, and commercial milestones, and earned royalties on net sales. In the event we sublicense our rights under the Stanford Agreement, we are obligated to pay Stanford a percentage of specified sublicensing income received.</w:t>
      </w:r>
    </w:p>
    <w:p>
      <w:pPr>
        <w:pStyle w:val="TextBody"/>
        <w:bidi w:val="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 and other inventions that are important to our business. For our product candidates, we generally intend to pursue patent protection covering compositions of matter, including new formulations, methods of making and methods of use. As we continue the development of our product candidates, we intend to identify additional means of obtaining patent protection that would potentially enhance commercial success, including through claims covering additional methods of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have licensed, including pursuant to sublicenses, from Ares, an affiliate of Merck, a patent portfolio related to atacicept that contains four issued U.S. patents (8,513,393, 8,637,021, 8,852,591, and 8,956,611), as well as certain foreign counterparts of a subset of these patents in foreign countries, including Australia, Brazil, Canada, China, Hong Kong, Israel, India, Japan, Mexico, Singapore, South Korea, South Africa, and countries within the European Patent Convention and the Eurasian Patent Organization. The issued patents include claims covering methods of purifying atacicept, formulations and various methods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and are expected to expire between 2027 and 2029, without considering any patent term extension. We have also licensed pending applications directed to treatment of IgAN with atacicept. These applications are pending in Australia, Brazil, Canada, China, the Eurasian Patent Organization, European Patent Office, Hong Kong, Indonesia, Israel, Japan, South Korea, Mexico, Malaysia, New Zealand, Philippines, Singapore, Thailand, Taiwan, the United States, and South Africa. Any issued patents would be expected to expire in 2041, without considering any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have filed a patent cooperation treaty (PCT) application which gives us the opportunity to gain patent rights in multiple countries directed to treatment of autoimmune glomerulopathies other than IgAN with atacicept, including pMN, FSGS, and MCD. In addition, we have filed additional applications in Taiwan and Argentina directed to treatment of autoimmune glomerulopathies other than IgAN with atacicept, including pMN, FSGS, and MCD. Any issued patents would be expected to expire in 2045, without considering any patent term extension. We also own pending U.S. provisional applications directed to treating severe IgAN patient populations with atacicept, as well as treating IgAN with monthly dosing of atacicept. Any issued patents would be expected to expire in 2046, without considering any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atacicept is a biologic, marketing approval would also provide 12 years of market exclusivity from the approval date of a BLA in the United States. We are currently seeking orphan drug designation for atacicept in IgAN from the FDA, which, if secured, would provide seven and ten years, in the United States, respectively, of regulatory exclusivity protection from the approval date. We have received orphan drug designation for atacicept in the EU and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patent portfolio licensed from Novartis and covering MAU868 includes three issued U.S. patents with claims covering the composition of matter of MAU868, and methods of neutralizing BKV or JC virus as well as methods of treating or reducing the likelihood of BKV or JC virus associated disorders. Corresponding foreign counterparts are granted in countries within the European Patent Convention, Australia, China, Japan, India, Israel, Mexico, Macau and Taiwan, and pending in Canada. Any issued patents in this family are expected to expire in 2036, without considering patent term extension. The 20-year expiration date for patents in this family is in 2036. In addition, we have applications co-owned with, and licensed from, Novartis directed to dosing regimens for MAU868, and includes applications pending in the U.S. as well as in Australia, Brazil, Canada, China, Eurasian Patent Organization, European Patent Office, Hong Kong, Indonesia, Israel, Japan, Korea, Mexico, Malaysia, New Zealand, Singapore, Thailand, Taiwan, and South Africa. Any issued patents would be expected to expire in 2041, without considering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have licensed from Stanford a patent portfolio related to a soluble B-cell maturation antigen (sBCMA) variant FC-fusion proteins useful for treating diseases including IgAN, pending in the U.S., Australia, Canada, China, European Patent Convention, Hong Kong, India, Japan, South Korea, Singapore, Taiwan, and United Arab Emirates. Any issued patents in this patent portfolio would be expected to expire in 2041, without considering any patent term extension.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own a pending United States provisional application directed to sBCMA variant FC-fusion proteins useful for treating diseases including IgAN. Any issued patents claiming priority to this provisional application would be expected to expire in 2046, without considering any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may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“Risk factors—Risks related to our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seek trademark protection in the United States and internationally where available and when we deem appropriate.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generative artificial intelligence in the workplace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adopted a generative artificial intelligence (GenAI) policy to provide all employees and contractors with guidelines for the responsible use of GenAI tools and mitigate the risk of misuse, unethical outcomes, potential biases, inaccuracy, data leaks and information security breaches.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this policy, GenAI tools may only be used on pre-authorized equipment, and requests for the use of new GenAI tools will be evaluated on a case-by-case basis considering factors such as confidentiality, data sensitivity, ethical and legal implications, and potential business impact. We will review and update this policy periodically to respond to any changes in applicable laws, emerging risks, and strategic business requirements.</w:t>
      </w:r>
    </w:p>
    <w:p>
      <w:pPr>
        <w:pStyle w:val="TextBody"/>
        <w:bidi w:val="0"/>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a number of external contract manufacturing organizations (CMOs) to develop and manufacture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is a native human TACI-Fc fusion protein that impacts the B cell pathway, which has well characterized implications in immunologic diseases. The human IgG1-Fc was modified to reduce the Fc binding to the C1q component of complement and the interaction with Fc receptors.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Atacicept is designed to be manufactured in accordance with current Good Manufacturing Practices (cGMPs) using a process similar to that used routinely for production of monoclonal antibodies.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atacicept drug product is available as a ready-to-use injection solution in a pre-filled syringe (PFS) at strengths of 25 mg/mL, 75 mg/mL, or 150 mg/mL of trial drug. Each atacicept PFS is designed to deliver a 1 mL solution of drug product. All formulation components are pharmacopeia grade.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Ares Agreement includes the transfer of all existing inventory of atacicept drug substance and drug product, for our use in planned and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acquired approximately 35,000 PFS of atacicept and approximately 25,000 PFS of placebo, as part of the Ares Agreement. This drug product will be utilized for our ongoing clinical trials, as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atacicept manufacturing supply chain is fully established using CMOs and is operational to supply products for clinical and, if approved, commercial use. An atacicept PFS/autoinjector combination product is in development for clinical use and commercial use,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Raw materials and supplies required to produce our products candidates are available in some instances from one supplier and in other instances from multiple suppliers. In those cases where raw materials are only available through one supplier, such supplier may be either a sole source (the only recognized supply source available to us) or a single source (the only approved supply source for us among other sources). Although to date we have not experienced any significant delays in obtaining any raw materials from our suppliers, we cannot provide assurance that we will not face shortages from one or more of them in the future. Please see the risk factor, “We contract with third parties for the manufacture of our product candidates for our ongoing clinical trials, and expect to continue to do so for additional clinical trials of our product candidates and ultimately for commercialization. This reliance on third parties increases the risk that we will not have sufficient quantities of our product candidates necessary for their development or commercialization, or such quantities at an acceptable cost, which could delay, prevent or impair our development or commercialization efforts.” described in “Risk Factors” in Part I, Item 1A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MAU868 is an IgG1 monoclonal antibody that binds to BKV protein VP1. It is designed to be manufactured according to cGMP using a high expression Chinese hamster ovary (CHO) cell and a standard antibody manufacturing process that is completely free from animal or human derived raw materials. The MAU868 manufacturing supply chain is fully established using contract manufacturing organizations with contracts that are assignable to Vera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fully formulated MAU868 drug product is provided as a 3 mL fill in a 6 mL vial which can be combined with multiple vials to prepare infusions at different dosage strengths for use in clinical trials. The drug product formulation is composed of MAU868 as the active substance, a buffering agent, and both a sugar and a surfactant as stabilizing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VT-109 is an engineered Fc-fusion protein containing BCMA variant. This molecule is in early-stage process development. </w:t>
      </w:r>
    </w:p>
    <w:p>
      <w:pPr>
        <w:pStyle w:val="TextBody"/>
        <w:bidi w:val="0"/>
        <w:jc w:val="left"/>
        <w:rPr>
          <w:rFonts w:ascii="Times New Roman" w:hAnsi="Times New Roman"/>
          <w:b/>
          <w:color w:val="000000"/>
          <w:sz w:val="20"/>
        </w:rPr>
      </w:pPr>
      <w:r>
        <w:rPr>
          <w:rFonts w:ascii="Times New Roman" w:hAnsi="Times New Roman"/>
          <w:b/>
          <w:color w:val="000000"/>
          <w:sz w:val="20"/>
        </w:rPr>
        <w:t>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planning efforts are currently focused primarily on launch readiness for atacicept.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the market opportunity for novel therapeutics in IgAN to be approximately 160,000 patients in the United States, 136,000 patients in Europe and 130,000 in Japan, at estimated peak year of sales, based on our assumptions, secondary research, and primary market research with physicians and payors. In order to capitalize on this opportunity, we are developing a specialty commercial infrastructure focused on IgAN, engaging treating physicians, including nephrologists, educating and engaging patients, and ensuring market access for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Ares Agreement, we were granted worldwide rights to the development and commercialization of atacicept in all indications. We intend to commercialize atacicept ourselves in the United States and other key markets, if approved. Within certain ex-U.S. markets, we may consider strategic collaborations to facilitate commercialization.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rapidly changing technologies, significant competition and a strong emphasis on intellectual property. This is also true for the development and commercialization of treatments for immunologic diseases. Though we believe that our focus, experienced team, scientific knowledge, and intellectual property provide us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advantages, we face competition from a number of sources, including large and small biopharmaceutical companies, universities, and other research institutions.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obtain regulatory approval of their products more rapidly than we do or may obtain patent protection or other intellectual property rights that limit our ability to develop or commercialize our product candidates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candidates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bidi w:val="0"/>
        <w:jc w:val="left"/>
        <w:rPr>
          <w:rFonts w:ascii="Times New Roman" w:hAnsi="Times New Roman"/>
          <w:b/>
          <w:i/>
          <w:color w:val="000000"/>
          <w:sz w:val="20"/>
        </w:rPr>
      </w:pPr>
      <w:r>
        <w:rPr>
          <w:rFonts w:ascii="Times New Roman" w:hAnsi="Times New Roman"/>
          <w:b/>
          <w:i/>
          <w:color w:val="000000"/>
          <w:sz w:val="20"/>
        </w:rPr>
        <w:t>Atacicept in 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high morbidity associated with IgAN, current standard-of-care treatment relies largely on supportive care therapies, including renin-angiotensin system inhibitors (RASi) and SGLT2i, as well as immunosuppressive treatments such as corticosteroids. Supportive treatments fail to target the origin of pathophysiology in IgAN, putting patients at risk of progressive kidney damage and leading to high rates of kidney failure that result in dialysis or transplant and increased risk of early death.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Growing evidence suggests stringent treatment goals for IgAN including the fundamental treatment goal of minimizing eGFR loss to &lt;1 mL/min/year, and highlights prevention or reduction of IgA immune complex formation via reduction in Gd-IgA1 as a first-line treatment goal. Most patients are not achieving recommended proteinuria and eGFR goals, leaving them at a substantial lifetime risk of ESKD.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treatment guidelines have evolved, there is increasing emphasis on the use of disease-modifying therapies that address the immunologic drivers of disease simultaneously with supportive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Atacicept is expected to be indicated to reduce proteinuria in patients living with IgAN who are at risk of disease progression. In ORIGIN 3, all patients were previously treated with a RAAS inhibitor and 56% of patients were also treated with SGLT2i. At approval, atacicept will compete with corticosteroids, targeted budesonide, complement inhibitors in addition to other b-cell modulators like sibeprenlimab.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emerging therapies, we consider our most direct competitors with respect to atacicept in IgAN to be approved products: the reformulated steroid from Asahi Kasei Corp., the anti-APRIL monoclonal antibody from Otsuka Pharmaceuticals, both the complement inhibitor and selective ETA receptor antagonist from Novartis, and the endothelin and angiotensin II receptor antagonist from Travere Therapeutics, Inc.; programs in Phase 3 clinical development: Roche/Ionis, Vertex, AstraZeneca, Biogen, Takeda, and Novartis; and the following companies with programs in Phase 2 of clinical development: Arrowhead Pharmaceuticals, NovelMed, and Eladon Pharmaceuticals.</w:t>
      </w:r>
    </w:p>
    <w:p>
      <w:pPr>
        <w:pStyle w:val="TextBody"/>
        <w:bidi w:val="0"/>
        <w:jc w:val="left"/>
        <w:rPr>
          <w:rFonts w:ascii="Times New Roman" w:hAnsi="Times New Roman"/>
          <w:b/>
          <w:i/>
          <w:color w:val="000000"/>
          <w:sz w:val="20"/>
        </w:rPr>
      </w:pPr>
      <w:r>
        <w:rPr>
          <w:rFonts w:ascii="Times New Roman" w:hAnsi="Times New Roman"/>
          <w:b/>
          <w:i/>
          <w:color w:val="000000"/>
          <w:sz w:val="20"/>
        </w:rPr>
        <w:t>Atacicept in pMN, FSGS, and MCD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FDA-approved therapies for pMN. Companies with pMN trials in Phases 2 or 3 include Vertex, Roche, BeOne Medicines, Biogen, Climb Bio, and Walden Biosciences. There are currently no FDA-approved therapies for FSGS. Travere’s FILSPARI received an extended FDA review of the sNDA in FSGS, with a PDUFA target action date of April 13, 2026. Companies with FSGS trials in Phases 2 or 3 include the following: Sanofi, Eli Lilly, Astellas, Walden Biosciences, Boehringer Ingelheim, Novartis, and Vertex. There are no FDA-approved therapies for MCD. Companies with MCD trials in Ph2/Ph3 include Sanofi, Travere Therapeutics, and Walden Biosciences.</w:t>
      </w:r>
    </w:p>
    <w:p>
      <w:pPr>
        <w:pStyle w:val="TextBody"/>
        <w:bidi w:val="0"/>
        <w:jc w:val="left"/>
        <w:rPr>
          <w:rFonts w:ascii="Times New Roman" w:hAnsi="Times New Roman"/>
          <w:b/>
          <w:i/>
          <w:color w:val="000000"/>
          <w:sz w:val="20"/>
        </w:rPr>
      </w:pPr>
      <w:r>
        <w:rPr>
          <w:rFonts w:ascii="Times New Roman" w:hAnsi="Times New Roman"/>
          <w:b/>
          <w:i/>
          <w:color w:val="000000"/>
          <w:sz w:val="20"/>
        </w:rPr>
        <w:t>MAU868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currently no anti-BKV therapies approved, either in the kidney transplant or HSCT setting. The standard of care in both settings is to reduce immunosuppression as a first line, and potentially to offer IVIG in kidney transplant recipients or antivirals with limited clinical evidence, including leflunomide and cidofovir, in either setting. There are few industry-sponsored programs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for these indications; we consider our most direct competitor to be Memo Therapeutics AG’s AntiBKV, a neutralizing monoclonal antibody in a Phase 2/3 clinical trial.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VT-109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landscape of B cell modulators primarily includes monoclonal antibodies, or Fc-fusion proteins containing TACI or TACI variants, including atacicept. VT-109 is a novel BAFF/APRIL dual-inhibitor B cell maturation antigen (BCMA) molecule which, if successfully developed, approved, and commercialized, may compete with the existing approaches to treat B cell mediated autoimmune diseases, many of which are described in the preceding paragraphs on IgAN. We consider the most advanced direct competitor to VT-109 to be the BCMA Fc-fusion protein from Aurinia Pharmaceuticals Inc., which is currently in Phase 1 clinical development.</w:t>
      </w:r>
    </w:p>
    <w:p>
      <w:pPr>
        <w:pStyle w:val="TextBody"/>
        <w:bidi w:val="0"/>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and jurisdictions, including the EU,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pStyle w:val="TextBody"/>
        <w:bidi w:val="0"/>
        <w:jc w:val="left"/>
        <w:rPr>
          <w:rFonts w:ascii="Times New Roman" w:hAnsi="Times New Roman"/>
          <w:b/>
          <w:i/>
          <w:color w:val="000000"/>
          <w:sz w:val="20"/>
        </w:rPr>
      </w:pPr>
      <w:r>
        <w:rPr>
          <w:rFonts w:ascii="Times New Roman" w:hAnsi="Times New Roman"/>
          <w:b/>
          <w:i/>
          <w:color w:val="000000"/>
          <w:sz w:val="20"/>
        </w:rPr>
        <w:t>Regulatory approval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the section of the FDCA that governs the approval of a New Drug Application (NDA). Biological products are approved, or licensed, for marketing under provisions of the Public Health Service Act (PHSA) via a BLA. The application process and requirements for approval of BLAs for originator biological products are similar to those for NDAs for new chemical entities,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Biological products must be approved by the FDA pursuant to a BLA before they may be legally marketed in the United States. 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and animal studies in accordance with applicable regulations, including studies conducted in accordance with good laboratory practice (GLP)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Application (IND), which must become effective before human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the protocol and related documents by an institutional review board (IRB) or independent ethics committee representing each clinical trial site before each clinical trial may be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 controlled human clinical trials in accordance with applicable IND regulations, Good Clinical Practices (GCP) requirements and other clinical trial-related regulations to establish the safety and efficacy of the investigational product for each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any user fees for FDA review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one or more FDA pre-approval inspections of the manufacturing facility or facilities where the biologic, or components thereof, will be produced to assess compliance with cGMP requirements to assure that the facilities, methods and controls are adequate to preserve the biologic’s identity, strength, quality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any potential FDA audits of the clinical trial sites that generated the data in support of the BLA to assure compliance with GCPs and integrity of the clinical data;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audit of the nonclinical study and clinical trial sites that generated the data in support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BLA to permit commercial marketing of the product for particular indications of use in the United States.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beginning the first clinical trial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An IND sponsor must also submit the results of the preclinical tests, together with manufacturing information, analytical data, any available clinical data or literature and plans for clinical trials, among other things, to the FDA as part of an IND.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pStyle w:val="TextBody"/>
        <w:bidi w:val="0"/>
        <w:jc w:val="left"/>
        <w:rPr>
          <w:rFonts w:ascii="Times New Roman" w:hAnsi="Times New Roman"/>
          <w:b/>
          <w:i/>
          <w:color w:val="000000"/>
          <w:sz w:val="20"/>
        </w:rPr>
      </w:pPr>
      <w:r>
        <w:rPr>
          <w:rFonts w:ascii="Times New Roman" w:hAnsi="Times New Roman"/>
          <w:b/>
          <w:i/>
          <w:color w:val="000000"/>
          <w:sz w:val="20"/>
        </w:rPr>
        <w:t>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codified in FDA regulations,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generally conducted in three sequential phases, known as Phase 1, Phase 2 and Phase 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clinical trials generally involve a small number of healthy volunteers, or in some cases, patients with a specified disease or condition. The primary purpose of these clinical trials is to assess the metabolism, pharmacokinetics, pharmacologic action, side effect tolerability, safety of the product candidate, and, if possible, obtain early evidence of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clinical trials generally involve administration of a product candidate to a limited patient population with a specified disease or condition to identify possible short-term side effects and safety risks, to preliminarily evaluate the efficacy of the product candidate for the targeted disease or condition and to determine dosage tolerance and appropriate dosage.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clinical trials generally involve a large number of patients at multiple sites and are designed to provide the data necessary to provide substantial evidence of efficacy for the product in its intended use, its safety in use and to establish the overall benefit/risk relationship of the product and provide an adequate basis for product labeling.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Phases may overlap or be combined. In some cases, FDA may require, or firms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pStyle w:val="TextBody"/>
        <w:bidi w:val="0"/>
        <w:jc w:val="left"/>
        <w:rPr>
          <w:rFonts w:ascii="Times New Roman" w:hAnsi="Times New Roman"/>
          <w:b/>
          <w:i/>
          <w:color w:val="000000"/>
          <w:sz w:val="20"/>
        </w:rPr>
      </w:pPr>
      <w:r>
        <w:rPr>
          <w:rFonts w:ascii="Times New Roman" w:hAnsi="Times New Roman"/>
          <w:b/>
          <w:i/>
          <w:color w:val="000000"/>
          <w:sz w:val="20"/>
        </w:rPr>
        <w:t>FDA review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purity and potency of the investigational product to the satisfaction of the FDA. FDA approval of a BLA must be obtained before a biologic or drug may be marketed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preparing and submitting a BLA is substantial. Under the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Once the submission is accepted for filing, the FDA begins an in-depth review of the BLA. The FDA reviews the BLA to determine, among other things, whether the proposed product is safe, pure and potent, for its intended use, and whether the product is being manufactured in accordance with cGMP to ensure its continued safety, purity and potency.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goals and policies agreed to by the FDA under PDUFA, the FDA has 10 months, from the filing date, in which to complete its initial review of an original BLA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The FDA does not always meet its PDUFA goal dates for standard and priority BLAs, and the review process can be extended by FDA requests for additional information or clarification.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approving a BLA, the FDA will conduct a pre-approval inspection of the manufacturing facilities for the new product to determine whether such facilities comply with cGMP requirements and to ensure readiness for commercial manufacturing . The FDA will not approve the product unless it determines that the manufacturing processes and facilities are in compliance with cGMP requirements and adequate to assure consistent production of the product within required specifications.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resubmitted BLA does not satisfy the criteria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Furthermore, 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pStyle w:val="TextBody"/>
        <w:bidi w:val="0"/>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A designated orphan drug may not receive orphan drug exclusivity if it is approved for a use that is broader than the indication for which it received orphan designation. Orphan drug exclusivity may be lost if the FDA later determines that the request for designation was materially defective. Further, competitors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pStyle w:val="TextBody"/>
        <w:bidi w:val="0"/>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a number of programs intended to expedite the development or review of a marketing application for an investigational biologic. For example, fast track designation may be granted for product candidates that are intended to treat a serious or life-threatening disease or condition, where preclinical or clinical data demonstrate the potential to address unmet medical needs for the disease or condition. Fast track designation applies to both the product candidate and the specific indication for which it is being studied. The sponsor of a new biologic candidate can request the FDA to designate the candidate for a specific indication for fast track status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Breakthrough therapy designation may be granted for product candidates that are intended, alone or in combination with one or more other drugs or biologics, to treat a serious or life-threatening condition if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product candidates designated as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The designation also includes all of the fast track program features, including the potential for rolling review of an application, if the relevant criteria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Priority review may be granted to applications for products candidates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Under priority review, the FDA’s goal is to review an application for an original biologic within six months after the filing date, compared to ten months for a standard review. Priority review designation does not change the standard for approval or the quality of evidence necessary to support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depending on the design of the applicable clinical trials, a product candidate may be eligible for accelerated approval. Specifically, product candidates that are intended to treat a serious or life-threatening condition and that generally provide a meaningful therapeutic advantage to patients over existing treatments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Use of the accelerated approval pathway entails submission of a BLA with the surrogate or intermediate clinical endpoint data while continuing to conduct the trial(s) to completion and is usually contingent on a sponsor’s agreement to complete and/or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jc w:val="left"/>
        <w:rPr>
          <w:rFonts w:ascii="Times New Roman" w:hAnsi="Times New Roman"/>
          <w:b/>
          <w:i/>
          <w:color w:val="000000"/>
          <w:sz w:val="20"/>
        </w:rPr>
      </w:pPr>
      <w:r>
        <w:rPr>
          <w:rFonts w:ascii="Times New Roman" w:hAnsi="Times New Roman"/>
          <w:b/>
          <w:i/>
          <w:color w:val="000000"/>
          <w:sz w:val="20"/>
        </w:rPr>
        <w:t>Additional controls for biologics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pStyle w:val="TextBody"/>
        <w:bidi w:val="0"/>
        <w:jc w:val="left"/>
        <w:rPr>
          <w:rFonts w:ascii="Times New Roman" w:hAnsi="Times New Roman"/>
          <w:b/>
          <w:i/>
          <w:color w:val="000000"/>
          <w:sz w:val="20"/>
        </w:rPr>
      </w:pPr>
      <w:r>
        <w:rPr>
          <w:rFonts w:ascii="Times New Roman" w:hAnsi="Times New Roman"/>
          <w:b/>
          <w:i/>
          <w:color w:val="000000"/>
          <w:sz w:val="20"/>
        </w:rPr>
        <w:t>Combination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combination product is a product comprised of two or more regulated components, e.g., drug and medical device, that are physically combined and produced as a single entity, packaged together in a single package, or packaged separately but intended to be labeled for use together. Atacicept in a prefilled autoinjector would be such a combination of therapeutic and delivery device.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is divided into various branches, or Centers, by product type. Different Centers typically review drug, biologic, or device applications. In order to review an application for a combination product, FDA must decide which Center should be responsible for the review. FDA regulations require that FDA determine the combination product’s primary mode of action (PMOA), which is the single mode of a combination product that provides the most important therapeutic action of the combination product. The Center that regulates that portion of the product that generates the PMOA becomes the lead evaluator. If there are two independent modes of action, neither of which is subordinate to the other, FDA makes a determination as to which Center to assign the product based on consistency with other combination products raising similar types of safety and effectiveness questions or to the Center with the most expertise in evaluating the most significant safety and effectiveness questions raised by the combination product.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FDA requires a single marketing application submitted to the Center selected to be the lead evaluator, although the agency has the discretion to require separate applications to more than one Center. We believe that our prefilled autoinjector would have a biologic PMOA.</w:t>
      </w:r>
    </w:p>
    <w:p>
      <w:pPr>
        <w:pStyle w:val="TextBody"/>
        <w:bidi w:val="0"/>
        <w:jc w:val="left"/>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Best Pharmaceuticals for Children Act (BPCA) provides a six-month extension of any exclusivity—patent or non-patent—for a biologic if certain conditions are met. Conditions for exclusivity include the FDA’s determination that information relating to the use of the biologic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 BLA is approved, a product may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Although physicians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 reporting and submission of periodic safety summary reports is required following FDA approval of a BLA. The FDA also may require post-marketing testing and surveillance to monitor the effects of an approved product, including requirements for REMS,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suspension of the approval,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other enforcement-related letters or holds on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BLAs or supplements to approved BLAs, or suspension or revocation of product approvals or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rFonts w:ascii="Times New Roman" w:hAnsi="Times New Roman"/>
          <w:b/>
          <w:i/>
          <w:color w:val="000000"/>
          <w:sz w:val="20"/>
        </w:rPr>
      </w:pPr>
      <w:r>
        <w:rPr>
          <w:rFonts w:ascii="Times New Roman" w:hAnsi="Times New Roman"/>
          <w:b/>
          <w:i/>
          <w:color w:val="000000"/>
          <w:sz w:val="20"/>
        </w:rPr>
        <w:t>U.S. marketing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pStyle w:val="TextBody"/>
        <w:bidi w:val="0"/>
        <w:jc w:val="left"/>
        <w:rPr>
          <w:rFonts w:ascii="Times New Roman" w:hAnsi="Times New Roman"/>
          <w:b/>
          <w:i/>
          <w:color w:val="000000"/>
          <w:sz w:val="20"/>
        </w:rPr>
      </w:pPr>
      <w:r>
        <w:rPr>
          <w:rFonts w:ascii="Times New Roman" w:hAnsi="Times New Roman"/>
          <w:b/>
          <w:i/>
          <w:color w:val="000000"/>
          <w:sz w:val="20"/>
        </w:rPr>
        <w:t>Regulatory approval in the European Union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market any product in the EU, we would need to comply with numerous and varying regulatory requirements regarding safety and efficacy and governing, among other things, clinical trials, marketing authorization, commercial sales and distribution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regarding approval of medicinal products in the EU follows roughly the same lines as in the United States and likewise generally involves satisfactorily completing each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laboratory tests, animal studies and formulation studies all performed in accordance with the applicable EU GLP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of a single clinical trial application (CTA) through the Clinical Trials Information System (CTIS) to the relevant national authorities of the member states of the EU (EU Member States) in which a clinical trial is planned to be conducted, which must be approved by such national authorities and the subject of a positive opinion from at least one independent ethics committee before the trial may begin in each country where the clinical trial is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clinical trials to establish the safety and efficacy of the product for each proposed indication;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relevant competent authorities of a marketing authorization application which includes the data supporting safety and efficacy as well as detailed information on the manufacture and composition of the product in clinical development and proposed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inspection by the relevant competent national authorities of EU Member States of the manufacturing facility or facilities, including those of third parties, at which the product is produced to assess compliance with strictly enforced EU Good Manufacturing Practice (GMP);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audits of the non-clinical and clinical trial sites that generated the data in support of the marketing authorization application;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approval by the relevant competent authority of the marketing authorization application before any commercial marketing, sale or shipment of the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Whether or not we obtain FDA approval for a product, we must obtain approval of the product by the EU regulatory authorities before we can commence clinical trials or marketing of the product in the EU.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pStyle w:val="TextBody"/>
        <w:bidi w:val="0"/>
        <w:jc w:val="left"/>
        <w:rPr>
          <w:rFonts w:ascii="Times New Roman" w:hAnsi="Times New Roman"/>
          <w:b/>
          <w:i/>
          <w:color w:val="000000"/>
          <w:sz w:val="20"/>
        </w:rPr>
      </w:pPr>
      <w:r>
        <w:rPr>
          <w:rFonts w:ascii="Times New Roman" w:hAnsi="Times New Roman"/>
          <w:b/>
          <w:i/>
          <w:color w:val="000000"/>
          <w:sz w:val="20"/>
        </w:rPr>
        <w:t>Non-clinical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to the United States, the various phases of non-clinical and clinical research in the EU are subject to significant regulatory controls. 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The results of the non-clinical studies, together with relevant manufacturing information and analytical data, are submitted as part of the CTA.</w:t>
      </w:r>
    </w:p>
    <w:p>
      <w:pPr>
        <w:pStyle w:val="TextBody"/>
        <w:bidi w:val="0"/>
        <w:jc w:val="left"/>
        <w:rPr>
          <w:rFonts w:ascii="Times New Roman" w:hAnsi="Times New Roman"/>
          <w:b/>
          <w:i/>
          <w:color w:val="000000"/>
          <w:sz w:val="20"/>
        </w:rPr>
      </w:pPr>
      <w:r>
        <w:rPr>
          <w:rFonts w:ascii="Times New Roman" w:hAnsi="Times New Roman"/>
          <w:b/>
          <w:i/>
          <w:color w:val="000000"/>
          <w:sz w:val="20"/>
        </w:rPr>
        <w:t>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medicinal products in the EU must be conducted in accordance with EU and national regulations and the International Council for Harmonization of Technical Requirements for Pharmaceuticals for Human Use,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landscape related to clinical trials in the EU has been subject to recent changes. The EU Clinical Trials Regulation No. 536/2014 (CTR), which was adopted in April 2014, entered into application on January 31, 2022, repealing and replacing the former Clinical Trials Directive 2001/20 (CTD).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CTR is intended to harmonize and streamline clinical trial authorizations, simplify adverse-event reporting procedures, improve the supervision of clinical trials and increase transparency. Specifically, the CTR, which is directly applicable in all EU Member States, introduces a streamlined application procedure through a single-entry point, the “EU portal,” the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EU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Once the CTA is approved, clinical study development may proceed.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CTR foresaw a three-year transition period that ended on January 31, 2025. Since this date, all new or ongoing trials are subject to the provisions of the CTR.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Medicines used in clinical trials must be manufactured in accordance with GMP. Other national and EU-wide regulatory requirements may also apply.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medicinal products can only be commercialized after a related marketing authorization has been granted. To obtain a marketing authorization for a product in the EU, an applicant must submit a marketing authorization application, either under a centralized procedure administered by the EMA, or one of the procedures administered by the competent authorities of EU Member States (decentralized procedure, national procedure or mutual recognition procedure). A marketing authorization may be granted only to an applicant established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centralized procedure provides for the grant of a single marketing authorization by the European Commission that is valid throughout the European Economic Area, which is comprised of the 27 EU Member States plus Iceland, Liechtenstein and Norway. Pursuant to Regulation (EC) No 726/2004, the centralized procedure is compulsory for specific products, including for (i) medicinal products derived from biotechnological processes, (ii) designated orphan medicinal products, (iii) advanced therapy medicinal products), and (iv) products with a new active substance indicated for the treatment of certain diseases, such as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centralized authorization procedure, the EMA’s Committee for Medicinal Products for Human Use (CHMP) conducts the initial assessment of a product. The CHMP is composed of experts nominated by each EU Member State,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excluding clock stops. The CHMP’s opinion is sent to the European Commission, which uses the opinion as the basis for its decision whether or not to grant a marketing authorization within 67 days of receipt.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grant the marketing authorization, the EMA or the competent authorities of the EU Member States make an assessment of the risk benefit balance of the product on the basis of scientific criteria concerning its quality, safety and efficacy. After a medicine has been authorized and launched, it is a condition of maintaining the marketing authorization that all aspects relating to its quality, safety and efficacy must be kept under review.</w:t>
      </w:r>
    </w:p>
    <w:p>
      <w:pPr>
        <w:pStyle w:val="TextBody"/>
        <w:bidi w:val="0"/>
        <w:jc w:val="left"/>
        <w:rPr>
          <w:rFonts w:ascii="Times New Roman" w:hAnsi="Times New Roman"/>
          <w:b/>
          <w:i/>
          <w:color w:val="000000"/>
          <w:sz w:val="20"/>
        </w:rPr>
      </w:pPr>
      <w:r>
        <w:rPr>
          <w:rFonts w:ascii="Times New Roman" w:hAnsi="Times New Roman"/>
          <w:b/>
          <w:i/>
          <w:color w:val="000000"/>
          <w:sz w:val="20"/>
        </w:rPr>
        <w:t>Alternative authorization pathways, accelerated assessment and PRIME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in accordance with Article 14(7) of Regulation (EC) 726/2004, a “conditional” marketing authorization may be granted in cases where all the required safety and efficacy data are not yet available. The European Commission may grant a conditional marketing authorization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marketing authorization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will be withdrawn if the risk-benefit ratio is no longer favorable.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Accelerated assessment may be granted by the CHMP in exceptional cases, when a marketing authorization application is submitted in respect of a medicinal product for human use targeting an unmet medical need which is expected to be of major interest from the point of view of public health and in particular from the viewpoint of therapeutic innovation. In these circumstances, the applicant may request an accelerated assessment procedure pursuant to Article 14(9) of Regulation (EC) 726/2004, which must be substantiated. If the CHMP accepts the request for accelerated assessment, the time limit of 210 days for the CHMP’s opinion is reduced to 150 days excluding clock stops. The CHMP may, however, revert to the standard time limit for the centralized procedure if it determines that the application is no longer appropriate to conduct an accelerated assessment.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Innovative products that target an unmet medical need and are expected to be of major public health interest may be eligible for a number of expedited development and review programs, such as the PRIority MEdicines scheme (PRIME),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marketing authorization application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pStyle w:val="TextBody"/>
        <w:bidi w:val="0"/>
        <w:jc w:val="left"/>
        <w:rPr>
          <w:rFonts w:ascii="Times New Roman" w:hAnsi="Times New Roman"/>
          <w:b/>
          <w:i/>
          <w:color w:val="000000"/>
          <w:sz w:val="20"/>
        </w:rPr>
      </w:pPr>
      <w:r>
        <w:rPr>
          <w:rFonts w:ascii="Times New Roman" w:hAnsi="Times New Roman"/>
          <w:b/>
          <w:i/>
          <w:color w:val="000000"/>
          <w:sz w:val="20"/>
        </w:rPr>
        <w:t>Validity of marketing authorizations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marketing authorization has, in principle, an initial validity of five years. The market authorization may be renewed after five years on the basis of a re-evaluation of the risk-benefit balance by the EMA or by the competent authority of the EU Member State in which the original market authorization was granted. To support the application, the market authorization holder must provide the EMA or the competent authority with a consolidated version of the Common Technical Document providing up-to-date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additional five-year renewal period for the marketing authorization. Once subsequently definitively renewed, the market authorization shall be valid for an unlimited period. Any authorization which is not followed by the actual placing of the medicinal product on the EU market (for a centralized procedure marketing authorization) or on the market of the authorizing EU Member State within three years after authorization ceases to be valid (the so-called sunset clause).</w:t>
      </w:r>
    </w:p>
    <w:p>
      <w:pPr>
        <w:pStyle w:val="TextBody"/>
        <w:bidi w:val="0"/>
        <w:jc w:val="left"/>
        <w:rPr>
          <w:rFonts w:ascii="Times New Roman" w:hAnsi="Times New Roman"/>
          <w:b/>
          <w:i/>
          <w:color w:val="000000"/>
          <w:sz w:val="20"/>
        </w:rPr>
      </w:pPr>
      <w:r>
        <w:rPr>
          <w:rFonts w:ascii="Times New Roman" w:hAnsi="Times New Roman"/>
          <w:b/>
          <w:i/>
          <w:color w:val="000000"/>
          <w:sz w:val="20"/>
        </w:rPr>
        <w:t>Pediatric development</w:t>
      </w:r>
    </w:p>
    <w:p>
      <w:pPr>
        <w:pStyle w:val="TextBody"/>
        <w:bidi w:val="0"/>
        <w:spacing w:before="120" w:after="283"/>
        <w:jc w:val="left"/>
        <w:rPr>
          <w:rFonts w:ascii="Times New Roman" w:hAnsi="Times New Roman"/>
          <w:sz w:val="20"/>
        </w:rPr>
      </w:pPr>
      <w:r>
        <w:rPr>
          <w:rFonts w:ascii="Times New Roman" w:hAnsi="Times New Roman"/>
          <w:color w:val="231F20"/>
          <w:sz w:val="20"/>
        </w:rPr>
        <w:t>In the EU, Regulation (EC) No 1901/2006 provides that all marketing authorization applications for new medicinal products have to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market authorization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w:t>
      </w:r>
      <w:r>
        <w:rPr>
          <w:rFonts w:ascii="Times New Roman" w:hAnsi="Times New Roman"/>
          <w:color w:val="000000"/>
          <w:sz w:val="20"/>
        </w:rPr>
        <w:t xml:space="preserve"> </w:t>
      </w:r>
      <w:r>
        <w:rPr>
          <w:rFonts w:ascii="Times New Roman" w:hAnsi="Times New Roman"/>
          <w:color w:val="231F20"/>
          <w:sz w:val="20"/>
        </w:rPr>
        <w:t xml:space="preserve">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w:t>
      </w:r>
      <w:r>
        <w:rPr>
          <w:rFonts w:ascii="Times New Roman" w:hAnsi="Times New Roman"/>
          <w:color w:val="000000"/>
          <w:sz w:val="20"/>
        </w:rPr>
        <w:t>marketing authorization</w:t>
      </w:r>
      <w:r>
        <w:rPr>
          <w:rFonts w:ascii="Times New Roman" w:hAnsi="Times New Roman"/>
          <w:color w:val="231F20"/>
          <w:sz w:val="20"/>
        </w:rPr>
        <w:t xml:space="preserve">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w:t>
      </w:r>
      <w:r>
        <w:rPr>
          <w:rFonts w:ascii="Times New Roman" w:hAnsi="Times New Roman"/>
          <w:color w:val="000000"/>
          <w:sz w:val="20"/>
        </w:rPr>
        <w:t>.</w:t>
      </w:r>
    </w:p>
    <w:p>
      <w:pPr>
        <w:pStyle w:val="TextBody"/>
        <w:bidi w:val="0"/>
        <w:jc w:val="left"/>
        <w:rPr>
          <w:rFonts w:ascii="Times New Roman" w:hAnsi="Times New Roman"/>
          <w:b/>
          <w:i/>
          <w:color w:val="000000"/>
          <w:sz w:val="20"/>
        </w:rPr>
      </w:pPr>
      <w:r>
        <w:rPr>
          <w:rFonts w:ascii="Times New Roman" w:hAnsi="Times New Roman"/>
          <w:b/>
          <w:i/>
          <w:color w:val="000000"/>
          <w:sz w:val="20"/>
        </w:rPr>
        <w:t>Manufacturing regulation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a marketing authorization, various other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marketing authorization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pStyle w:val="TextBody"/>
        <w:bidi w:val="0"/>
        <w:jc w:val="left"/>
        <w:rPr>
          <w:rFonts w:ascii="Times New Roman" w:hAnsi="Times New Roman"/>
          <w:b/>
          <w:i/>
          <w:color w:val="000000"/>
          <w:sz w:val="20"/>
        </w:rPr>
      </w:pPr>
      <w:r>
        <w:rPr>
          <w:rFonts w:ascii="Times New Roman" w:hAnsi="Times New Roman"/>
          <w:b/>
          <w:i/>
          <w:color w:val="000000"/>
          <w:sz w:val="20"/>
        </w:rPr>
        <w:t>Data and market exclusivity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EU provides opportunities for data and market exclusivity related to </w:t>
      </w:r>
      <w:r>
        <w:rPr>
          <w:rFonts w:ascii="Times New Roman" w:hAnsi="Times New Roman"/>
          <w:color w:val="000000"/>
          <w:sz w:val="20"/>
        </w:rPr>
        <w:t>marketing authorization</w:t>
      </w:r>
      <w:r>
        <w:rPr>
          <w:rFonts w:ascii="Times New Roman" w:hAnsi="Times New Roman"/>
          <w:color w:val="231F20"/>
          <w:sz w:val="20"/>
        </w:rPr>
        <w:t>s. Upon receiving a</w:t>
      </w:r>
      <w:r>
        <w:rPr>
          <w:rFonts w:ascii="Times New Roman" w:hAnsi="Times New Roman"/>
          <w:color w:val="000000"/>
          <w:sz w:val="20"/>
        </w:rPr>
        <w:t>marketing authorization</w:t>
      </w:r>
      <w:r>
        <w:rPr>
          <w:rFonts w:ascii="Times New Roman" w:hAnsi="Times New Roman"/>
          <w:color w:val="231F20"/>
          <w:sz w:val="20"/>
        </w:rPr>
        <w:t xml:space="preserve">, innovative medicinal products are generally entitled to receive eight years of data exclusivity and an additional two years of market exclusivity. Data exclusivity, if granted, prevents regulatory authorities in the EU from referencing the innovator’s data to assess a generic or biosimilar application for eight years from the date of authorization of the innovative product. The market exclusivity period prevents a successful generic or biosimilar applicant from commercializing its product in </w:t>
      </w:r>
      <w:r>
        <w:rPr>
          <w:rFonts w:ascii="Times New Roman" w:hAnsi="Times New Roman"/>
          <w:color w:val="000000"/>
          <w:sz w:val="20"/>
        </w:rPr>
        <w:t xml:space="preserve">the EU until ten years have elapsed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initial marketing authorization of the reference product in the EU. The overall ten-year period may, occasionally, be extended for a further year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bidi w:val="0"/>
        <w:jc w:val="left"/>
        <w:rPr>
          <w:rFonts w:ascii="Times New Roman" w:hAnsi="Times New Roman"/>
          <w:b/>
          <w:i/>
          <w:color w:val="000000"/>
          <w:sz w:val="20"/>
        </w:rPr>
      </w:pPr>
      <w:r>
        <w:rPr>
          <w:rFonts w:ascii="Times New Roman" w:hAnsi="Times New Roman"/>
          <w:b/>
          <w:i/>
          <w:color w:val="000000"/>
          <w:sz w:val="20"/>
        </w:rPr>
        <w:t>Orphan medicinal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criteria for designating an “orphan medicinal product” in the EU are similar in principle to those in the United States. 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a life-threatening or chronically debilitating condition; (ii) either (a) such condition affects not more than five in 10,000 persons in the EU when the application is made, or, (b) the product without the benefits derived from orphan status, would not generate sufficient return in the EU to justify the necessary investment in its development; and (iii) there exists no satisfactory authorized method of diagnosis, prevention or treatment of the condition in question that has been authorized in the EU or even, if such method exists, the product will be of significant benefit to those affected by that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(EC) No. 847/2000 sets out further provisions for implementation of the criteria for designation of a medicinal product as an orphan medicinal product. An application for designation as an orphan product can be made any time prior to the submission of an marketing authorization application. A marketing authorization for an orphan medicinal product may only include indications designated as orphan. For non-orphan indications treated with the same active pharmaceutical ingredient, a separate marketing authorization has to be sought.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Orphan medicinal product designation entitles an applicant to incentives such as fee reductions or fee waivers, protocol assistance, and access to the centralized marketing authorization procedure. Upon a grant of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10-year period if (i)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jc w:val="left"/>
        <w:rPr>
          <w:rFonts w:ascii="Times New Roman" w:hAnsi="Times New Roman"/>
          <w:b/>
          <w:i/>
          <w:color w:val="000000"/>
          <w:sz w:val="20"/>
        </w:rPr>
      </w:pPr>
      <w:r>
        <w:rPr>
          <w:rFonts w:ascii="Times New Roman" w:hAnsi="Times New Roman"/>
          <w:b/>
          <w:i/>
          <w:color w:val="000000"/>
          <w:sz w:val="20"/>
        </w:rPr>
        <w:t>Post-authorization requirements</w:t>
      </w:r>
    </w:p>
    <w:p>
      <w:pPr>
        <w:pStyle w:val="TextBody"/>
        <w:bidi w:val="0"/>
        <w:spacing w:before="120" w:after="283"/>
        <w:jc w:val="left"/>
        <w:rPr>
          <w:rFonts w:ascii="Times New Roman" w:hAnsi="Times New Roman"/>
          <w:sz w:val="20"/>
        </w:rPr>
      </w:pPr>
      <w:r>
        <w:rPr>
          <w:rFonts w:ascii="Times New Roman" w:hAnsi="Times New Roman"/>
          <w:color w:val="231F20"/>
          <w:sz w:val="20"/>
        </w:rPr>
        <w:t>Similar to the United States, both market authorization holders and manufacturers of medicinal products are subject to comprehensive regulatory oversight by the EMA, the European Commission and/or the competent regulatory authorities of the individual EU Member States. The holder of a market authorization must establish and maintain a pharmacovigilance system and appoint an individual qualified person for pharmacovigilance who is responsible for the establishment and maintenance of that system, and oversees the safety profiles or medicinal products and any emerging safety concerns. Key obligations include expedited reporting of suspected serious adverse reactions and submission of periodic safety update reports (PSURs)</w:t>
      </w:r>
      <w:r>
        <w:rPr>
          <w:rFonts w:ascii="Times New Roman" w:hAnsi="Times New Roman"/>
          <w:color w:val="00000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All new marketing authorization applications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post-authorization obligations may include additional safety monitoring, more frequent submission of PSURs, or the conduct of additional clinical trials or post-authorization safety studies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hAnsi="Times New Roman"/>
          <w:color w:val="000000"/>
          <w:sz w:val="20"/>
        </w:rPr>
        <w:t>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 marketing authorization. Promotional activity that does not comply with the SmPC is considered off-label and is prohibited in the EU.</w:t>
      </w:r>
    </w:p>
    <w:p>
      <w:pPr>
        <w:pStyle w:val="TextBody"/>
        <w:bidi w:val="0"/>
        <w:jc w:val="left"/>
        <w:rPr>
          <w:rFonts w:ascii="Times New Roman" w:hAnsi="Times New Roman"/>
          <w:b/>
          <w:i/>
          <w:color w:val="000000"/>
          <w:sz w:val="20"/>
        </w:rPr>
      </w:pPr>
      <w:r>
        <w:rPr>
          <w:rFonts w:ascii="Times New Roman" w:hAnsi="Times New Roman"/>
          <w:b/>
          <w:i/>
          <w:color w:val="000000"/>
          <w:sz w:val="20"/>
        </w:rPr>
        <w:t>Combination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regulates medical devices and medicinal products separately, and through different legislative instruments. Products that are a combination of a medicinal product and a medical device may be regulated as either a medicinal product, a medical device or, subject to certain requirements, on the basis of both sets of rules. The applicable requirements governing placing a drug-device combination on the EU market will vary depending on the type of drug-device combination product and on which of the components of the combination has the primary mode of action.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Drug-device combination products intended to administer a medicinal product where the medicinal product and the device form a single integral product that is not reusable and for which the action of the medicinal product is principal to that of the medical device are regulated as medicinal products. The EMA or the EU Member State national competent authority will assess the product in accordance with the rules for medicinal products described above but the device part must comply with the </w:t>
      </w:r>
      <w:r>
        <w:rPr>
          <w:rFonts w:ascii="Times New Roman" w:hAnsi="Times New Roman"/>
          <w:color w:val="231F20"/>
          <w:sz w:val="20"/>
        </w:rPr>
        <w:t>EU Medical Devices Regulation (MDR)</w:t>
      </w:r>
      <w:r>
        <w:rPr>
          <w:rFonts w:ascii="Times New Roman" w:hAnsi="Times New Roman"/>
          <w:color w:val="000000"/>
          <w:sz w:val="20"/>
        </w:rPr>
        <w:t xml:space="preserve"> (including the general safety and performance requirements (GSPR) provided in Annex I). As part of the marketing authorization application, the applicant must also submit, where available, the results of the assessment of the conformity of the medical device part of the product with the MDR contained in the manufacturer's EU Declaration of Conformity of the device or the relevant Certificate of Conformity issued by a notified body. If the marketing authorization application does not include the results of the conformity assessment, and where the conformity assessment of the device, if used separately, requires the involvement of a notified body, the competent authorities must require the applicant to provide a notified body opinion on the conformity of the device with the relevant GSPRs</w:t>
      </w:r>
    </w:p>
    <w:p>
      <w:pPr>
        <w:pStyle w:val="TextBody"/>
        <w:bidi w:val="0"/>
        <w:spacing w:before="120" w:after="283"/>
        <w:jc w:val="left"/>
        <w:rPr>
          <w:rFonts w:ascii="Times New Roman" w:hAnsi="Times New Roman"/>
          <w:sz w:val="20"/>
        </w:rPr>
      </w:pPr>
      <w:r>
        <w:rPr>
          <w:rFonts w:ascii="Times New Roman" w:hAnsi="Times New Roman"/>
          <w:color w:val="000000"/>
          <w:sz w:val="20"/>
        </w:rPr>
        <w:t>Drug-device combination products that form a single integral product that is not reusable and for which the action of the medicinal products is ancillary to that of the medical device are governed by the regulatory framework applicable to</w:t>
      </w:r>
      <w:r>
        <w:rPr>
          <w:rFonts w:ascii="Times New Roman" w:hAnsi="Times New Roman"/>
          <w:color w:val="231F20"/>
          <w:sz w:val="20"/>
        </w:rPr>
        <w:t xml:space="preserve"> medical devices in accordance with the MDR. However, the quality and safety of the medicinal product , including the benefit or risk of its incorporation must be provided from one of the national competent authorities or from the EMA before a notified body can issue a EU certificate..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contrast, drug-device combination products which do not form a single integral product will be regulated separately. This may include, for example a drug-device combination product where a medical device and a medicinal product are co-packaged and the medical device is intended solely to be used for the administration of the co-packaged medicinal product. In these circumstances, the medicinal product will be governed by the regulatory framework applicable to medicinal products and the medical device will be governed by the MDR. However, the characteristics of a medical device used for the administration of a medicinal product may impact the quality, safety and efficacy profile of the medicinal product. As a result, as part of the marketing authorization application submitted to the competent authorities for the medicinal product, the applicant may need to provide additional information regarding the characteristics of the co-packaged medical device that may impact on the quality, safety and/or efficacy of the medicinal product. Similar requirements may apply where the products are not co-packaged but the medicinal product information makes an explicit reference to a specific medical device.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pStyle w:val="TextBody"/>
        <w:bidi w:val="0"/>
        <w:jc w:val="left"/>
        <w:rPr>
          <w:rFonts w:ascii="Times New Roman" w:hAnsi="Times New Roman"/>
          <w:sz w:val="20"/>
        </w:rPr>
      </w:pPr>
      <w:r>
        <w:rPr>
          <w:rFonts w:ascii="Times New Roman" w:hAnsi="Times New Roman"/>
          <w:b/>
          <w:i/>
          <w:color w:val="000000"/>
          <w:sz w:val="20"/>
        </w:rPr>
        <w:t>Regulatory Framework in the United Kingdom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United Kingdom’s (UK) withdrawal from the EU on January 31, 2020, commonly referred to as Brexit, has changed the regulatory relationship between the UK and the EU. The Medicines and Healthcare products Regulatory Agency (MHRA) is now the UK’s standalone regulator for medicinal products and medical devices. The UK is now a third country to the EU.</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UK regulatory framework in relation to clinical trials is governed by the </w:t>
      </w:r>
      <w:r>
        <w:rPr>
          <w:rFonts w:ascii="Times New Roman" w:hAnsi="Times New Roman"/>
          <w:color w:val="040C28"/>
          <w:sz w:val="20"/>
        </w:rPr>
        <w:t xml:space="preserve">Medicines for Human Use (Clinical Trials) Regulations 2004, as amended, which is </w:t>
      </w:r>
      <w:r>
        <w:rPr>
          <w:rFonts w:ascii="Times New Roman" w:hAnsi="Times New Roman"/>
          <w:color w:val="000000"/>
          <w:sz w:val="20"/>
        </w:rPr>
        <w:t xml:space="preserve">derived from the CTD, as implemented into UK national law through secondary legislation. On April 28, 2025, the UK adopted an amendment to the UK clinical trials regulations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CTD, into closer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alignment with the CTR. The amendment will become applicable on April 28, 2026, following a one-year transition period. In addition, in October 2023, the MHRA announced a new Notification Scheme for clinical trials which enables a more streamlined and risk-proportionate approach to initial clinical trial applications for Phase 4 and low-risk Phase 3 clinical trial applications.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Marketing authorizations in the UK are governed by the </w:t>
      </w:r>
      <w:r>
        <w:rPr>
          <w:rFonts w:ascii="Times New Roman" w:hAnsi="Times New Roman"/>
          <w:color w:val="333333"/>
          <w:sz w:val="20"/>
        </w:rPr>
        <w:t xml:space="preserve">Human Medicines Regulations (SI 2012/1916), as amended. </w:t>
      </w:r>
      <w:r>
        <w:rPr>
          <w:rFonts w:ascii="Times New Roman" w:hAnsi="Times New Roman"/>
          <w:color w:val="231F20"/>
          <w:sz w:val="20"/>
        </w:rPr>
        <w:t>Since January 1, 2021, an applicant for the EU centralized procedure marketing authorization can no longer be established in the UK. As a result, since this date, companies established in the UK cannot use the EU centralized procedure. In order to obtain a UK market authorization to commercialize products in the UK, an applicant must be established in the United Kingdom and must follow one of the UK national authorization procedures</w:t>
      </w:r>
      <w:r>
        <w:rPr>
          <w:rFonts w:ascii="Times New Roman" w:hAnsi="Times New Roman"/>
          <w:color w:val="000000"/>
          <w:sz w:val="20"/>
        </w:rPr>
        <w:t xml:space="preserve"> or one of the remaining post-Brexit international cooperation procedures</w:t>
      </w:r>
      <w:r>
        <w:rPr>
          <w:rFonts w:ascii="Times New Roman" w:hAnsi="Times New Roman"/>
          <w:color w:val="231F20"/>
          <w:sz w:val="20"/>
        </w:rPr>
        <w:t xml:space="preserve"> to obtain a marketing authorization to market products in the UK. Applications are governed by the Human Medicines Regulations (SI 2012/1916) and are made electronically through the MHRA Submissions Portal.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decision should be received within 100 days (subject to clock-stops).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since January 1, 2024, the MHRA may rely on the International Recognition Procedure (IRP) when reviewing certain types of marketing authorization applications. Pursuant to the IRP, the MHRA will take into account the expertise and decision-making of trusted regulatory partners (e.g., the regulators in Australia, Canada, Switzerland, Singapore, Japan, the U.S.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 market authorization in the United Kingdom. Applications should be decided within a maximum of 60 days if there are no major objections identified that cannot be resolved within such 60 day period and the approval from the trusted regulatory partner selected has been granted within the previous 2 years or if there are such major objections identified or such approval hasn’t been granted within the previous 2 years within 110 days. Applicants can submit initial marketing authorization applications to the IRP but the procedure can also be used throughout the lifecycle of a product for post-authorization procedures including line extensions, variations and renewals.</w:t>
      </w:r>
    </w:p>
    <w:p>
      <w:pPr>
        <w:pStyle w:val="TextBody"/>
        <w:bidi w:val="0"/>
        <w:spacing w:before="120" w:after="283"/>
        <w:jc w:val="left"/>
        <w:rPr>
          <w:rFonts w:ascii="Times New Roman" w:hAnsi="Times New Roman"/>
          <w:sz w:val="20"/>
        </w:rPr>
      </w:pPr>
      <w:r>
        <w:rPr>
          <w:rFonts w:ascii="Times New Roman" w:hAnsi="Times New Roman"/>
          <w:color w:val="231F20"/>
          <w:sz w:val="20"/>
        </w:rPr>
        <w:t>A</w:t>
      </w:r>
      <w:r>
        <w:rPr>
          <w:rFonts w:ascii="Times New Roman" w:hAnsi="Times New Roman"/>
          <w:color w:val="000000"/>
          <w:sz w:val="20"/>
        </w:rPr>
        <w:t>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remained within the scope of EU authorizations in relation to centrally authorized medicinal products until</w:t>
      </w:r>
      <w:r>
        <w:rPr>
          <w:rFonts w:ascii="Times New Roman" w:hAnsi="Times New Roman"/>
          <w:color w:val="0B0C0C"/>
          <w:sz w:val="20"/>
        </w:rPr>
        <w:t>January 1, 2025. However, on January 1, 2025, an arrangement as part of the so-called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the UK,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UK.</w:t>
      </w:r>
    </w:p>
    <w:p>
      <w:pPr>
        <w:pStyle w:val="TextBody"/>
        <w:bidi w:val="0"/>
        <w:jc w:val="left"/>
        <w:rPr>
          <w:rFonts w:ascii="Times New Roman" w:hAnsi="Times New Roman"/>
          <w:sz w:val="20"/>
        </w:rPr>
      </w:pPr>
      <w:r>
        <w:rPr>
          <w:rFonts w:ascii="Times New Roman" w:hAnsi="Times New Roman"/>
          <w:b/>
          <w:i/>
          <w:color w:val="000000"/>
          <w:sz w:val="20"/>
        </w:rPr>
        <w:t>European and United Kingdom data collection and processing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receipt, storage, generation, transfer, access, protection, securing, disposal, transmittal, sharing, use, disclosure and other processing (commonly referred to as processing) of health-related and other personal data about clinical trials participants and other individuals in Europe is governed by the European Union’s General Data Protection Regulation (EU GDPR), and in the UK is governed by the European Union (Withdrawal) Act 2018 and the UK Data Protection Act 2018 (UK GDPR). The EU GDPR and UK GDPR require companies to, among other things, give detailed disclosures about how they are processing personal data; ensure any consents relied on to process personal data (including special categories of personal data, such as health information) meet the strict EU GDPR requirements; contractually impose data protection measures on vendors entrusted with personal data; maintain adequate data security measures; notify regulators and affected individuals of certain data breaches; meet extensive privacy governance and documentation requirements; honor individuals’ data protection rights, including their rights to access, correct and delete their personal data; and refrain from transferring personal data from Europe or the UK to most other countries unless specific safeguards can be implemented. Companies that violate the EU GDPR or UK GDPR can face private litigation, prohibitions on data processing and heavy fines. Complying with the EU GDPR and UK GDPR may be costly and require us to limit our activities in Europe. If our efforts to comply are not successful, we may face litigation, reputational harm, significant penalties and other liabilities.</w:t>
      </w:r>
    </w:p>
    <w:p>
      <w:pPr>
        <w:pStyle w:val="TextBody"/>
        <w:bidi w:val="0"/>
        <w:jc w:val="left"/>
        <w:rPr>
          <w:rFonts w:ascii="Times New Roman" w:hAnsi="Times New Roman"/>
          <w:b/>
          <w:i/>
          <w:color w:val="000000"/>
          <w:sz w:val="20"/>
        </w:rPr>
      </w:pPr>
      <w:r>
        <w:rPr>
          <w:rFonts w:ascii="Times New Roman" w:hAnsi="Times New Roman"/>
          <w:b/>
          <w:i/>
          <w:color w:val="000000"/>
          <w:sz w:val="20"/>
        </w:rPr>
        <w:t>Marketing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like the Anti-Kickback Statute prohibition in the United States, as described below, the provision of benefits or advantages to physicians and other health care professionals to induce or encourage the prescription, recommendation, endorsement, purchase, supply, order or use of medicinal products is also prohibited in many EU Member States which have adopted specific anti-gift statutes that further limit commercial practices for medicinal products, in particular vis-à-vis healthcare professionals and organizations. 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These requirements are provided in the national laws, industry codes or professional codes of conduct applicable in the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healthcare laws and regulations and legislative reform</w:t>
      </w:r>
    </w:p>
    <w:p>
      <w:pPr>
        <w:pStyle w:val="TextBody"/>
        <w:bidi w:val="0"/>
        <w:jc w:val="left"/>
        <w:rPr>
          <w:rFonts w:ascii="Times New Roman" w:hAnsi="Times New Roman"/>
          <w:b/>
          <w:i/>
          <w:color w:val="000000"/>
          <w:sz w:val="20"/>
        </w:rPr>
      </w:pPr>
      <w:r>
        <w:rPr>
          <w:rFonts w:ascii="Times New Roman" w:hAnsi="Times New Roman"/>
          <w:b/>
          <w:i/>
          <w:color w:val="000000"/>
          <w:sz w:val="20"/>
        </w:rPr>
        <w:t>Healthcare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and third-party payors will play a primary role in the recommendation and prescription of any product candidates for which we obtain marketing approval. Our operations, including any arrangements with healthcare providers, third-party payors and customers may expose us to broadly applicable fraud and abuse and other healthcare laws that may affect the business or financial arrangements and relationships through which we conduct research and would market, sell and distribute our products. The healthcare laws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 As a result of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modification made by the Fraud Enforcement and Recovery Act of 2009, a claim includes “any request or demand” for money or property presented to the U.S. government. In addition, manufacturers can be held liable under the False Claims Act even when they do not submit claims directly to government payors if they are deemed to “cause” the submission of false or fraudulent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implementing regulations, which impose privacy, security and data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annually to the Centers for Medicare &amp; Medicaid Services (CMS) information related to payments and other transfers of value provided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foreign laws that require pharmaceutical companies to implement compliance programs, comply with the pharmaceutical industry’s voluntary compliance guidelines and the relevant compliance guidance promulgated by the government, or to track and report gifts, compensation and other remuneration provided to physicians and other healthcare professionals; state and foreign laws that require the reporting of marketing expenditures or drug pricing, including information pertaining to and justifying price increases; state and local laws that require the registration of pharmaceutical sales representatives; state and foreign laws that prohibit various marketing-related activities, such as the provision of certain kinds of gifts or meals; state and foreign laws that require the posting of information relating to clinical trials and their outcomes; and other federal, state and foreign laws that govern the privacy and security of health information or personal data in certain circumstances, including state health information privacy and data breach notification laws which govern the processing of health-related and other personal data, many of which differ from each other in significant ways and often are not pre-empted by HIPAA, thus requiring additional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or comparable foreign programs,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professionals or entities with whom we expect to do business is found not to be in compliance with applicable laws, they may be subject to significant criminal, civil or administrative sanctions, including exclusions from government funded healthcare programs.</w:t>
      </w:r>
    </w:p>
    <w:p>
      <w:pPr>
        <w:pStyle w:val="TextBody"/>
        <w:bidi w:val="0"/>
        <w:jc w:val="left"/>
        <w:rPr>
          <w:rFonts w:ascii="Times New Roman" w:hAnsi="Times New Roman"/>
          <w:b/>
          <w:i/>
          <w:color w:val="000000"/>
          <w:sz w:val="20"/>
        </w:rPr>
      </w:pPr>
      <w:r>
        <w:rPr>
          <w:rFonts w:ascii="Times New Roman" w:hAnsi="Times New Roman"/>
          <w:b/>
          <w:i/>
          <w:color w:val="000000"/>
          <w:sz w:val="20"/>
        </w:rPr>
        <w:t>Legislative reform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United States and state governments continue to propose and pass legislation designed to reduce the cost of healthcare. The Affordable Care Act, among other things, substantially changed the way healthcare is financed by both governmental and private insurers, and significantly affected the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and amendments to certain aspects of the Affordable Care Act. For example, on August 16, 2022, the Inflation Reduction Act of 2022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 It is unclear how other healthcare reform measures of the current administration will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among other things, resulted in reductions in Medicare payments to providers beginning in 2013 and, due to subsequent legislative amendments to the statute, including the Infrastructure Investment and Jobs Act, will remain in effect through 2032, absent additional congressional action.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 For example, the IRA, among other things, (i) directs the U.S. Department of Health and Human Services (HHS) to negotiate the price of certain high-expenditure, single-source biologics covered under Medicare that have been on the market for at least 11 years, and subject drug manufacturers to civil monetary penalties and a potential excise tax by offering a price that is not equal to or less than the negotiated “maximum fair price” for such drugs and biologics under the law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CMS published the agreed-upon price for the initial ten drugs, which will first be effective in 2026, and the subsequent 15 drugs, which will first be effective in 2027. Each year thereafter more Part B and Part D products will become subject to the Medicare Drug Price Negotiation Program, although it is currently subject to legal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these proposals will be implemented, the policies are likely to have a negative impact on the pharmaceutical industry and on our ability to receive adequate revenues for our product candidates, if approved. On the one hand, significant tariffs have been threatened to be imposed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as one factor an agency can use when deciding to exercise march-in rights. While march-in rights have not previously been exercised, it is uncertain if that will continue under the new framework.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pricing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to 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w:t>
      </w:r>
    </w:p>
    <w:p>
      <w:pPr>
        <w:pStyle w:val="TextBody"/>
        <w:bidi w:val="0"/>
        <w:jc w:val="left"/>
        <w:rPr>
          <w:rFonts w:ascii="Times New Roman" w:hAnsi="Times New Roman"/>
          <w:b/>
          <w:i/>
          <w:color w:val="000000"/>
          <w:sz w:val="20"/>
        </w:rPr>
      </w:pPr>
      <w:r>
        <w:rPr>
          <w:rFonts w:ascii="Times New Roman" w:hAnsi="Times New Roman"/>
          <w:b/>
          <w:i/>
          <w:color w:val="000000"/>
          <w:sz w:val="20"/>
        </w:rPr>
        <w:t>Environmental, health and safety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pStyle w:val="TextBody"/>
        <w:bidi w:val="0"/>
        <w:jc w:val="left"/>
        <w:rPr>
          <w:rFonts w:ascii="Times New Roman" w:hAnsi="Times New Roman"/>
          <w:b/>
          <w:i/>
          <w:color w:val="000000"/>
          <w:sz w:val="20"/>
        </w:rPr>
      </w:pPr>
      <w:r>
        <w:rPr>
          <w:rFonts w:ascii="Times New Roman" w:hAnsi="Times New Roman"/>
          <w:b/>
          <w:i/>
          <w:color w:val="000000"/>
          <w:sz w:val="20"/>
        </w:rPr>
        <w:t>Pharmaceutical coverage,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 party payors, such as government health programs, commercial insurance and managed healthcare organizations. These third-party payors decide which products will be covered and establish reimbursement levels for those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CMS determines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Therefore, it is possible that any of our product candidates, even if approved, may not be covered by third-party payors or the reimbursement limit may be so restrictive that we cannot commercialize the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authorities in Europe may be more restrictive than payors in the United States. In the EU, pricing and reimbursement schemes vary widely from country to country. In the EU, governments influence the price of products through their pricing and reimbursement rules and control of national healthcare systems that fund a large part of the cost of those products to consumers.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In addition, the EU provides options for the EU Member States to restrict the range of products for which their national health insurance systems provide reimbursement and to control the prices of medicinal products for human use. EU Member States may approve a specific price for a product, may adopt a system of direct or indirect controls on the profitability of the company placing the product on the market. Other EU Member States allow companies to fix their own prices for product but monitor and control prescription volumes and issue guidance to physicians to limit prescriptions.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some EU Member States may require the completion of additional studies that compare the cost-effectiveness of a particular medicinal product candidate to currently available therapies. This Health Technology Assessment (HTA) process is conducted to assess the public health impact, therapeutic impact, and the economic and societal impact of use of a given medicinal product in the national healthcare systems of individual countries. The outcome of HTA regarding specific medicinal products will often influence the pricing and reimbursement status granted to these medicinal products by the competent authorities of individual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in December 2021, Regulation No. 2021/2282 on HTA (HTA Regulation), was adopted. The HTA Regulation has applied from January 12, 2025 although it will enter into force iteratively and initially apply to new active substances to treat cancer and to all advanced therapy medicinal products, it will then be expanded to orphan medicinal products in January 2028, and to all centrally authorized medicinal products as of 2030. Selected high-risk medical devices will also be assessed under the HTA Regulation as of 2026. The HTA Regulation is intended to boost cooperation among EU Member States in assessing health technologies, including new medicinal products, and providing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Reference pricing used by various EU Member States and parallel distribution, or arbitrage between low-priced and high-priced EU Member States, can further reduce prices. Furthermore, many EU Member States have increased the amount of discounts required on pharmaceutical products, and these efforts could continue as countries attempt to manage healthcare expenditures, especially in light of the severe fiscal and debt crises experienced by many EU Member States. The downward pressure on healthcare costs in general, and prescription products in particular, has become increasingly intense. As a result, there are increasingly higher barriers to entry for new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containment of healthcare costs has become a priority of foreign and domestic governments as well as private third-party payors. The prices of drugs have been a focus in this effort. Governments and private third-party payors have attempted to control costs by limiting coverage and the amount of reimbursement for 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pStyle w:val="TextBody"/>
        <w:bidi w:val="0"/>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 total of 249 full-time employees. We employ physicians, professionals in research and development, clinical, regulatory, manufacturing, commercial, finance, legal and other functions that are important to our business.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a party to any collective bargaining agreements. We use temporary workers such as consultants and advisors in certain instances when we think it is in the best interests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developing, and retaining highly qualified individuals are key to our success. To do so, we believe we offer competitive compensation packages—inclusive of base salary, bonus, and equity, and benefits. We also sought to establish a values-based culture enhanced by principles that set us apart: our empathy for patients and other stakeholders, our owner’s mindset, our prioritization of clarity, our cross-functional collaboration, and our sense of urgency. These values enhance the working environment for our current employees and attract our desired candidates.</w:t>
      </w:r>
    </w:p>
    <w:p>
      <w:pPr>
        <w:pStyle w:val="TextBody"/>
        <w:bidi w:val="0"/>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occupy 40,232 square feet of office space as our corporate headquarters at 2000 Sierra Point Parkway in Brisbane, California, under lease though March 2029.</w:t>
      </w:r>
    </w:p>
    <w:p>
      <w:pPr>
        <w:pStyle w:val="TextBody"/>
        <w:bidi w:val="0"/>
        <w:jc w:val="left"/>
        <w:rPr>
          <w:rFonts w:ascii="Times New Roman" w:hAnsi="Times New Roman"/>
          <w:b/>
          <w:color w:val="000000"/>
          <w:sz w:val="20"/>
        </w:rPr>
      </w:pPr>
      <w:r>
        <w:rPr>
          <w:rFonts w:ascii="Times New Roman" w:hAnsi="Times New Roman"/>
          <w:b/>
          <w:color w:val="000000"/>
          <w:sz w:val="20"/>
        </w:rPr>
        <w:t>Company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as a Delaware corporation in May 2016. Our principal executive offices are located at 2000 Sierra Point Parkway, Suite 1200, Brisbane, California 94005. Our corporate website address is www.veratx.com. We post links on our website to the following filings as soon as reasonably practicable after they are electronically filed with or furnished to the U.S. Securities and Exchange Commission (SEC): annual reports on Form 10-K, quarterly reports on Form 10-Q, current reports on Form 8-K, proxy statements, and any amendments to those reports filed or furnished pursuant to Section 13(a) or 15(d) of the Securities Exchange Act of 1934, as amended. All such filings are available through our website free of charge. The SEC also maintains an internet site at www.sec.gov that contains reports, proxy and information statements, and other information regarding issuers that file electronically with the SEC. Information contained on or accessible through our website is not a part of this Annual Report, and the inclusion of our website address in this report is an inactive textual reference only.</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a_risk_factors_1"/>
      <w:bookmarkEnd w:id="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on Form 10-K and those we may make from time to time. You should consider all of the risk factors described when evaluating our business.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jc w:val="left"/>
        <w:rPr>
          <w:rFonts w:ascii="Times New Roman" w:hAnsi="Times New Roman"/>
          <w:b/>
          <w:i/>
          <w:color w:val="000000"/>
          <w:sz w:val="20"/>
        </w:rPr>
      </w:pPr>
      <w:r>
        <w:rPr>
          <w:rFonts w:ascii="Times New Roman" w:hAnsi="Times New Roman"/>
          <w:b/>
          <w:i/>
          <w:color w:val="000000"/>
          <w:sz w:val="20"/>
        </w:rPr>
        <w:t>We have completed a limited number of clinical trials for our lead product candidate, atacicept, and have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and we have no products approved for commercial sale, have not generated any revenue from product sales and have incurred losses since inception. To date, we have devoted substantially all of our resources to our research and development efforts, pre-clinical studies and clinical trials, establishing and maintaining our intellectual property portfolio, hiring personnel,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to accurately predict our future success or viability than it would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late-stage biotechnology companies in rapidly evolving fields. We may face difficulty transitioning from a company with a clinical development focus to a company capable of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treatments for immunological and rare diseases,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continue to conduct clinical trials of, and seek marketing approval for, our product candidates. We anticipate incurring significant costs associated with the development of our product candidates. Our expenses could increase beyond expectations if we are required by the FDA, or any comparable foreign regulatory authority, to perform clinical trials or nonclinical studies in addition to those that we currently anticipate. Other unanticipated costs may also arise. In addition, if we obtain marketing approval for product candidates, we expect to incur significant commercialization expenses related to drug sales, marketing, manufacturing and distribution. We cannot reasonably estimate the actual amounts necessary to successfully complete the development and commercialization of any product candidate we develop. We also will continue to incur costs associated with operating as a public company. Accordingly, we will need to obtain substantial additional funding in order to maintain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$714.6 million in cash, cash equivalents and marketable securities. We expect that our existing cash, cash equivalents and marketable securities will be sufficient to fund our planned operations and capital expenditure requirements beyond the next 12 months from the date of this Annual Report.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macroeconomic and geopolitical environment generally.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or continue nonclinical studies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scale up external manufacturing capacity with the aim of securing sufficient quantities to meet our capacity requirements for clinical trials and potential commercialization;</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approved product candidates and related additional commercial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develop or in-license other product candidates and technologies and further expand our clinical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develop and retain additional clinical, scientific, quality control, commercial, and manufacturing management and administrative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clinical, operational, financial and management information systems and personnel, including personnel to support our product development and planned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Advancing the development of our product candidates will require a significant amount of capital. Our working capital and available credit will not be sufficient to fund all of the activities that are necessary to complete the development of our product candidates through approval and commercial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Adverse geopolitical and macroeconomic developments, such as potential disruptions in access to bank deposits and lending commitments due to bank failures, ongoing military conflicts, related sanctions, actual and anticipated changes in interest rates, economic inflation and the responses by central banking authorities to control such inflation, could affect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net losses since inception and have never generated revenue from product sales. We expect to continue to incur net losses at least until we have one or more approved products that achieve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reporting period since the commencement of our operations and have not generated any revenue from product sales to date. We had net losses of $299.6 million, $152.1 million and $96.0 million for the fiscal years ended December 31, 2025, 2024, and 2023, respectively. We had an accumulated deficit of $760.9 million as of December 31, 2025. Our losses have resulted principally from expenses incurred in research and development and from general and administrative costs and other expenses that we have incurred while building our business infrastructure. Our product candidates are in clinical and pre-clinical development. Even if one or more product candidates is commercialized, we expect that it will be several years, if ever, before revenue from product sales will result in net income. Even if we succeed in receiving marketing approval for and commercializing our product candidates in one or more indications, we expect that we will continue to incur substantial research and development and other expenses as we continue the clinical development programs for our product candidates in other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increased expenses and operating losses for the foreseeable future as we continue our research and development efforts and seek to obtain regulatory approval for our product candidates. The net losses we incur may fluctuate significantly from quarter to quarter such that a period-to-period comparison of our results of operations may not be an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As a development stage company, we expect to incur significant and increasing losses at least until regulatory approval is granted for our product candidates. Regulatory approval is not guaranteed and may never be obtained. As a result, there is a possibility that the company may never be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our product candidates. Our ability to generate revenue from product sales depends heavily on our and our potential future collaborators’ success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clinical development of product candidates and programs and identifying and developing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and obtaining marketing approvals for any product candidates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adequate access and reimbursement by government and third-party payors for product candidates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market acceptance of product candidates that we develop as viable treatment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our rights under our existing license agreements and any similar agreements we may enter into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negotiating favorable terms in any collaboration, licensing or other arrangements into which we may enter and performing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protecting, enforcing and expanding our portfolio of intellectual property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defending against third-party interference, infringement or other intellectual property-related claims,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developing and retaining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product candidate that we develop is approved for commercial sale, we anticipate incurring significant costs associated with commercializing such approved product candidate. Our expenses could increase beyond expectations if we are required by the FDA or comparable foreign regulatory authorities to perform clinical trials or nonclinical studies in addition to those that we currently anticipate. Even if we are able to generate revenue from the sale of any approved products, we may not be able to reach or sustain profitability, and may need to obtain additional funding to continue operations.</w:t>
      </w:r>
    </w:p>
    <w:p>
      <w:pPr>
        <w:pStyle w:val="TextBody"/>
        <w:bidi w:val="0"/>
        <w:jc w:val="left"/>
        <w:rPr>
          <w:rFonts w:ascii="Times New Roman" w:hAnsi="Times New Roman"/>
          <w:b/>
          <w:i/>
          <w:color w:val="000000"/>
          <w:sz w:val="20"/>
        </w:rPr>
      </w:pPr>
      <w:r>
        <w:rPr>
          <w:rFonts w:ascii="Times New Roman" w:hAnsi="Times New Roman"/>
          <w:b/>
          <w:i/>
          <w:color w:val="000000"/>
          <w:sz w:val="20"/>
        </w:rPr>
        <w:t>The terms of our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 Loan and Security Agreement (2025 Loan Agreement) with a loan syndicate involving Oxford Finance LLC, Oxford Finance Credit Fund II LP, Oxford Finance Credit Fund III LP, and Oxford Finance Credit Fund IV LP (collectively, Oxford) providing for borrowing capacity of up to $500.0 million. As of December 31, 2025, our outstanding debt balance under the 2025 Loan Agreement was $75.0 million.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2025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2025 Loan Agreement, Oxford may accelerate all of our repayment obligations and exercise all of their rights and remedies under the 2025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Oxford could declare a default upon the occurrence of customary events of default, including events that they interpret as a material adverse change as delineated in the 2025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We are substantially dependent on the success of our product candidates. If we are unable to complete development of, obtain regulatory approval for and commercialize our product candidates in one or more indications and in a timely manner,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heavily dependent on our ability to timely complete clinical trials, obtain marketing approval for and successfully commercialize our product candidates. We expect that a substantial portion of our efforts and expenses over the next several years will continue to be devoted to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invest significant efforts and financial resources in the research and development of our product candidates, which will require additional clinical development, evaluation of clinical, nonclinical and manufacturing activities, marketing approval from regulatory authorities, and significant marketing efforts before we can generate any revenues from product sales. We are not permitted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market or promote our product candidates before we receive marketing approval from the FDA and comparable foreign regulatory authorities, and we may never receive such marketing approvals. We cannot assure you that our planned clinical development programs for our product candidates will be completed in a timely manner, or at all, or that we will be able to obtain approval for our product candidates from the FDA or comparable foreign regulatory authorities. If we are unable to complete development of, obtain regulatory approval for and commercialize our product candidates in one or more indications and in a timely manner, our business, financial condition, results of operations and prospects will be significantly harmed.</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is a lengthy and expensive process with an uncertain outcome, and results of earlier studies and trials may not be predictive of future trial results. Failure can occur at any stage of clinical development. If we are ultimately unable to obtain regulatory approval for our product candidates, we will be unable to generate product revenue and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nonclinical studies and early clinical trials may not be predictive of the results of subsequent clinical trials. We have a limited operating history and have limited experience in conducting large scale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 stages of clinical trials may fail to show the desired safety and efficacy traits despite having progressed through nonclinical studies and initial clinical trials. For example, atacicept has been the subject of clinical trials by prior sponsors, including a Phase 2 trial in systemic lupus erythematosus (SLE), that missed its primary endpoint in the overall study population. In the future, clinical trial failures may result from a multitude of factors including flaws in trial design, dose selection, placebo effect and patient enrollment criteria. A number of companies in the biotechnology industry have suffered significant setbacks in advanced clinical trials due to lack of efficacy or adverse safety profiles, notwithstanding promising results in earlier trials. Based upon negative or inconclusive results, we or any potential future collaborator may decide to conduct additional clinical trials or nonclinical studies. Any future delays or abandonment could harm our business, financial condition, results of operations and prospects. Even if our clinical trials are completed as planned, we cannot be certain that their results will support our proposed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clinical trials will demonstrate consistent or adequate efficacy and safety to obtain regulatory approval to market our product candidates. Most product candidates that begin clinical trials are never approved by regulatory authorities for commercialization. If we are unable to bring our product candidates to market, our ability to create long-term shareholder value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in part on nonclinical, clinical and quality data generated by CROs and other third parties in connection with our planned regulatory submissions.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an application seeking approval of our product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the terms of such approval may limit the scope and use, which may also limit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a product candidate.</w:t>
      </w:r>
    </w:p>
    <w:p>
      <w:pPr>
        <w:pStyle w:val="TextBody"/>
        <w:bidi w:val="0"/>
        <w:jc w:val="left"/>
        <w:rPr>
          <w:rFonts w:ascii="Times New Roman" w:hAnsi="Times New Roman"/>
          <w:b/>
          <w:i/>
          <w:color w:val="000000"/>
          <w:sz w:val="20"/>
        </w:rPr>
      </w:pPr>
      <w:r>
        <w:rPr>
          <w:rFonts w:ascii="Times New Roman" w:hAnsi="Times New Roman"/>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clinical trials of our product candidates. Our planned clinical trials may not begin on time, have an effective design, enroll a sufficient number of participants, or be completed on schedule, if at all. Our clinical trials can be delayed for a variety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ethics committee opinions;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refusing to approve or ethics committees issuing negative opinions, suspending or terminating the trial at an investigational site, precluding enrollment of additional subjects, or withdrawing their approval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conduct issues, which could confound the clinical endpoints and/or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of clinical trial material to supply the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enrollment due to low prevalence or incidence rates of subjects with the applicable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enrollment due to a shift in our prioritization and dedication of resources towards other product candidates or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imposing a clinical 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shutdowns, either temporarily or permanently, of any facility manufacturing our product candidates or any of their components, including by order from the FDA or comparable foreign regulatory authorities due to violations of current good manufacturing practice (cGMP) or similar foreign requirements, regulations or other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the commercial prospects of our product candidates will be harmed, and our ability to generate product revenues will be delayed. Moreover, any delays in completing our clinical trials will increase our costs, slow down development and approval processes and jeopardize our ability to commence product sales and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many of the factors that cause, or lead to, termination or suspension of, or a delay in the commencement or completion of, clinical trials may also ultimately lead to the denial of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our clinical trials that occur as a result could shorten any period during which we may have the exclusive right to commercialize our product candidates and our competitors may be able to bring products to market before we do, and the commercial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viability of such product candidates could be significantly reduced. Any of these occurrences may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Enrollment and retention of participants in clinical trials is an expensive and time-consuming process and could be made more difficult or rendered impossible by multiple factors outside our control, including difficulties in identifying patients with IgAN, the availability of competitive products, and significant competition for recruiting participants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qualifying patients to participate in our clinical trials is critical to our success. We may encounter delays in enrolling, or be unable to enroll, a sufficient number of participants to complete any of our clinical trials, and even once enrolled we may be unable to retain a sufficient number of participants to complete any of our trials. Although we have engaged certain third-party investigators to assist with participant enrollment, there can be no assurance that we will be able to maintain our relationships with such third parties or that such third parties will be successful in helping us identify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generally affect participant enrollment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we enroll;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companies for clinical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background and clinical experience (e.g., safety profile, risk/benefit assessment, mechanism of action, known proof of concept);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and maintain participant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participants will drop out before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shift in our prioritization and dedication of resources towards other product candidates or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of the drug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any significant adverse events or other side effects are observed in any of our future clinical trials or other sponsor development programs of similar mechanism of action that may result in a drug class effect, it may make it more difficult for us to recruit patients to our clinical trials and participants may drop out of our trials, or we may be required to abandon the trials or our development efforts of one or more product candidates altogether. Our inability to enroll or retain a sufficient number of participants for our clinical trials would result in significant delays, which would increase our costs and have an adverse effect on our company.</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financial and human resources, which has in the past and may in the future cause us to make prioritization and resource allocation decisions.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rFonts w:ascii="Times New Roman" w:hAnsi="Times New Roman"/>
          <w:b/>
          <w:i/>
          <w:color w:val="000000"/>
          <w:sz w:val="20"/>
        </w:rPr>
      </w:pPr>
      <w:r>
        <w:rPr>
          <w:rFonts w:ascii="Times New Roman" w:hAnsi="Times New Roman"/>
          <w:b/>
          <w:i/>
          <w:color w:val="000000"/>
          <w:sz w:val="20"/>
        </w:rPr>
        <w:t>We may develop our product candidates in combination with other therapies, which exposes us to additional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our product candidates in combination with one or more currently approved therapies. Even if a product candidate we develop were to receive marketing approval or be commercialized for use in combination with other existing therapies, we would continue to be subject to the risks that the FDA or similar regulatory authorities outside of the United States could revoke or modify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We will not be able to market and sell such product candidate we develop in combination with any such unapproved therapies that do not ultimately obtain marketing approval. If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regulatory authorities outside of the United States do not approve these other drugs or revoke their approval of, or if safety, efficacy, manufacturing, or supply issues arise with, the drugs we choose to evaluate in combination with our product candidates, we may be unable to obtain approval of or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European Medicine Agency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w:t>
      </w:r>
    </w:p>
    <w:p>
      <w:pPr>
        <w:pStyle w:val="TextBody"/>
        <w:bidi w:val="0"/>
        <w:jc w:val="left"/>
        <w:rPr>
          <w:rFonts w:ascii="Times New Roman" w:hAnsi="Times New Roman"/>
          <w:b/>
          <w:i/>
          <w:color w:val="000000"/>
          <w:sz w:val="20"/>
        </w:rPr>
      </w:pPr>
      <w:r>
        <w:rPr>
          <w:rFonts w:ascii="Times New Roman" w:hAnsi="Times New Roman"/>
          <w:b/>
          <w:i/>
          <w:color w:val="000000"/>
          <w:sz w:val="20"/>
        </w:rPr>
        <w:t>The incidence and prevalence for target patient populations of our product candidates in specific indications are based on estimates and third-party sources. If the market opportunities for our product candidates,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our product candidates, if and when approved, are smaller than we estimate or if any approval that we obtain is based on a narrower definition of the patient population, our revenue and ability to achieve and sustain profitability might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which may result in others discovering, developing or commercializing products before or more successfully than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industry is intensely competitive and subject to rapid and significant technological change. Our competitors include multinational pharmaceutical companies, specialized biotechnology companies and universities and other research institutions. The current standard-of-care for IgAN consists of treatment with off-label use of RAAS inhibitors, including ACE inhibitors and ARBs, to control blood pressure, or steroids with or without other immunosuppressive agents to non-specifically reduce inflammation. SGLT2 inhibitors, including AstraZeneca’s Farxiga, which is approved for chronic kidney disease, is becoming the standard-of-care in some geographies including the United States. Among emerging therapies, we consider our most direct competitors with respect to atacicept in IgAN to be approved products: the reformulated steroid from Asahi Kasei Corp., the anti-APRIL monoclonal antibody from Otsuka Pharmaceuticals, both the complement inhibitor and selective ETA receptor antagonist from Novartis, and the endothelin and angiotensin II receptor antagonist from Travere Therapeutics, Inc.; programs in Phase 3 clinical development: Roche/Ionis, Vertex, AstraZeneca, Biogen, Takeda, and Novartis; and the following companies with programs in Phase 2 of clinical development: Arrowhead Pharmaceuticals, NovelMed, and Eladon Pharmaceuticals.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FDA-approved therapies for pMN. Companies with pMN trials in Phases 2 or 3 include Vertex, Roche, BeOne Medicines, Biogen, Climb Bio, and Walden Biosciences. There are currently no FDA-approved therapies for FSGS. Travere’s FILSPARI received an extended FDA review of the sNDA in FSGS, with a PDUFA target action date of April 13, 2026. Companies with FSGS trials in Phases 2 or 3 include the following: Sanofi, Eli Lilly, Astellas, Walden Biosciences, Boehringer Ingelheim, Novartis, and Vertex. There are no FDA-approved therapies for MCD. Companies with MCD trials in Ph2/Ph3 include Sanofi, Travere Therapeutics, and Walden Biosciences.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kidney transplant or hematopoietic stem cell transplant setting, there are currently no anti-BK Virus (anti-BKV) therapies approved. The standard of care in both settings is to reduce immunosuppression as a first line, and potentially to offer intravenous immune globulin (IVIG) in kidney transplant recipients or antivirals with limited clinical evidence, including leflunomide and cidofovir, in either setting. There are few industry sponsored programs in development for these indications; we consider our most direct competitor to be Memo Therapeutics AG’s Anti-BKV, a neutralizing monoclonal antibody in a Phase 2/3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landscape of B cell modulators primarily includes monoclonal antibodies, or Fc-fusion proteins containing TACI or TACI variants, including atacicept. VT-109 is a novel BAFF/APRIL dual-inhibitor B cell maturation antigen (BCMA) molecule which, if successfully developed, approved, and commercialized, may compete with the existing approaches to treat B cell mediated autoimmune diseases, many of which are described in the preceding paragraphs on IgAN. We consider the most advanced direct competitor to VT-109 to be the BCMA Fc-fusion protein from Aurinia Pharmaceuticals Inc., which is currently in Phase 1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or comparable approval for superior products. Many of our competitors have established and in-use distribution channels for the commercialization of their products, whereas we have no such proven channel or capabilities.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obtain regulatory approval of their products more rapidly than we do or may obtain patent protection or other intellectual property rights that limit our ability to develop or commercialize our product candidates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candidates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participant registration for clinical trials, as well as in acquiring technologies complementary to, or necessary for, our programs.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methods of manufacturing or formulation of our product candidates may result in additional costs or delays.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product candidates progress through preclinical to late-stage clinical trials to marketing approval and commercialization, it is common that various aspects of the development program, such as manufacturing methods and formulation, and manufacturing sites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authorities typically takes many years following the commencement of clinical trials.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we may develop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implementation or results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determine that our product candidates are not safe, pure, and/or potent (or effective),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 potentially resulting in a restrictive label and limiting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support the submission of a Biologics License Application (BLA), or other submission or to obtain regulatory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FDA or comparable foreign regulatory authorities that the risk-benefit ratio for our proposed indication is acceptable;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 and regulatory agencies caused by funding shortages, furloughs or other reasons could result in delays in reviewing regulatory submissions or extensions of time necessary for new drugs to be reviewed and/or approved.</w:t>
      </w:r>
    </w:p>
    <w:p>
      <w:pPr>
        <w:pStyle w:val="TextBody"/>
        <w:bidi w:val="0"/>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our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we obtain approval of our product candidates for one indication, regulatory authorities may not approve such product candidates for other indications, may impose significant limitations in the form of narrow indications, warnings, or a Risk Evaluation and Mitigation Strategy (REMS). Certain regulatory authorities may grant approval contingent on the performance of costly post-marketing clinical trials or may approve them with a label that does not include the labeling claims necessary or desirable for successful commercialization of our product candidates. In addition, if we are unable to obtain regulatory approval, or if regulatory approval results in a limited label, our business, financial condition, results of operation and prospects will be significantly harmed.</w:t>
      </w:r>
    </w:p>
    <w:p>
      <w:pPr>
        <w:pStyle w:val="TextBody"/>
        <w:bidi w:val="0"/>
        <w:jc w:val="left"/>
        <w:rPr>
          <w:rFonts w:ascii="Times New Roman" w:hAnsi="Times New Roman"/>
          <w:b/>
          <w:i/>
          <w:color w:val="000000"/>
          <w:sz w:val="20"/>
        </w:rPr>
      </w:pPr>
      <w:r>
        <w:rPr>
          <w:rFonts w:ascii="Times New Roman" w:hAnsi="Times New Roman"/>
          <w:b/>
          <w:i/>
          <w:color w:val="000000"/>
          <w:sz w:val="20"/>
        </w:rPr>
        <w:t>Even if approved, our product candidates may not achieve adequate market acceptance among physicians, patients, healthcare payors and others in the medical community necessary for commercial success.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The degree of market acceptance of any of our product candidates would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timing of market introduction of the product candidate as well as competitive products, such as TARPEYO</w:t>
      </w:r>
      <w:r>
        <w:rPr>
          <w:rFonts w:ascii="Times New Roman" w:hAnsi="Times New Roman"/>
          <w:color w:val="000000"/>
          <w:sz w:val="13"/>
        </w:rPr>
        <w:t>®</w:t>
      </w:r>
      <w:r>
        <w:rPr>
          <w:rFonts w:ascii="Times New Roman" w:hAnsi="Times New Roman"/>
          <w:color w:val="000000"/>
          <w:sz w:val="20"/>
        </w:rPr>
        <w:t>, FILSPARI</w:t>
      </w:r>
      <w:r>
        <w:rPr>
          <w:rFonts w:ascii="Times New Roman" w:hAnsi="Times New Roman"/>
          <w:color w:val="000000"/>
          <w:sz w:val="13"/>
        </w:rPr>
        <w:t>®</w:t>
      </w:r>
      <w:r>
        <w:rPr>
          <w:rFonts w:ascii="Times New Roman" w:hAnsi="Times New Roman"/>
          <w:color w:val="000000"/>
          <w:sz w:val="20"/>
        </w:rPr>
        <w:t>, FABHALTA</w:t>
      </w:r>
      <w:r>
        <w:rPr>
          <w:rFonts w:ascii="Times New Roman" w:hAnsi="Times New Roman"/>
          <w:color w:val="000000"/>
          <w:sz w:val="13"/>
        </w:rPr>
        <w:t>®</w:t>
      </w:r>
      <w:r>
        <w:rPr>
          <w:rFonts w:ascii="Times New Roman" w:hAnsi="Times New Roman"/>
          <w:color w:val="000000"/>
          <w:sz w:val="20"/>
        </w:rPr>
        <w:t>, VANRAFIA</w:t>
      </w:r>
      <w:r>
        <w:rPr>
          <w:rFonts w:ascii="Times New Roman" w:hAnsi="Times New Roman"/>
          <w:color w:val="000000"/>
          <w:sz w:val="13"/>
        </w:rPr>
        <w:t>®</w:t>
      </w:r>
      <w:r>
        <w:rPr>
          <w:rFonts w:ascii="Times New Roman" w:hAnsi="Times New Roman"/>
          <w:color w:val="000000"/>
          <w:sz w:val="20"/>
        </w:rPr>
        <w:t>, and VOYXACT</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use, such as boxed warnings or contraindications in labeling, or a REMS or comparable foreign restriction, if any, which may not be required of alternative treatments and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pricing and 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our product candidates for use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inclusion or exclusion of our product candidates from treatment guidelines established by various physician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our product candidates or similar approved products or product candidates in development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medical products also depend on the willingness of physicians to prescribe the treatment, which is likely to be based on a determination by these physicians that the products are safe, therapeutically effective and accessible to patients.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professionals, government agencies, regulatory authorities or private insurers will determine that our product is safe, therapeutically effective and cost effective as compared with competing treatments. If any product candidate is approved but does not achieve an adequate level of acceptance by such parties, we may not generate or derive sufficient revenue from such product candidate and may not be able to achieve or sustain profitability.</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product liability claims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obtaining regulatory approval of a product, such claims could result in an FDA or other regulatory authority investigation of the safety and effectiveness of our product, our manufacturing processes and facilities or our marketing programs. FDA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at a future date. Any insurance we have or may obtain may not provide sufficient coverage against potential liabilities caused by product liability claims,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 delay or halt clinical trials and could result in a more restrictive label or the delay or denial of regulatory approval by the FDA or comparable foreign regulatory authorities. For example, Merck previously conducted APRIL-LN, a Phase 2/3 clinical trial aimed to evaluate the efficacy and safety of atacicept in patients with active lupus nephritis (LN), receiving newly initiated mycophenlate mofetil (MMF) and corticosteroids (CS). Two weeks before the initiation of atacicept, significant decreases in immunoglobulin G (IgG) levels began unexpectedly with initiation of MMF and high-dose CS, and persisted upon initiation of atacicept, which led to trial termination. Such drug-related side effects could affect participant recruitment or the ability of enrolled participants to complete the trial or result in potential product liability claims. Any of these occurrences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product candidates we develop are associated with undesirable side effects or have unexpected characteristics in nonclinical studies or clinical trials when used alone or in combination with other approved products or investigational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in our ongoing and planned clinical trials may in the future suffer significant adverse events or other side effects not observed in our nonclinical studies or previous clinical trials. Our product candidates may be used as chronic therapies or be used in pediatric populations, for which safety concerns may be particularly scrutinized by regulatory authorities. In addition, if our product candidates are used in combination with other therapies, such product candidates may exacerbate adverse events associated with the therapy and it may not be possible to determine whether such adverse events were caused by our product candidate or the agent with which it was combined. The inclusion of patients with advanced disease in our clinical trials may result in deaths or other adverse medical events due to other therapies or medications that such patients may be using or due to the gravity of such patients’ illnesses.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toxicities associated with our products not seen during clinical testing may also develop after any approval, if obtained,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or other foreign regulatory authority grants marketing approval of a product candidate, comparable regulatory authorities in foreign jurisdictions must also approve the marketing approval of the product candidate in their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any product candidate we develop receives regulatory approval, it could be subject to significant post-marketing regulatory requirements and will be subject to continued regulatory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may receive for our product candidates will require the submission of reports to regulatory authorities and surveillance to monitor the safety and efficacy of the marketed product,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applicable foreign regulatory authorities approve any of our product candidates, the manufacturing processes, labeling, packaging, distribution, adverse event reporting, storage, advertising, promotion, import, export and recordkeeping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variation or withdrawal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or partial suspension of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any of our product candidates.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cannot predict the likelihood, nature or extent of government regulation that may arise from future legislation or administrative or executive action, either in the United States or abroad. If these actions impose constraints on FDA’s or foreign regulatory authorities’ ability to engage in oversight and implementation activities in the normal course, it may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seek but fail to obtain orphan drug designations from the FDA or other regulatory authorities for our product candidates, and even where we have obtained such designations, we may be unable to receive or maintain the benefits associated with orphan drug designation, including the potential for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orphan drug designation for some or all of our product candidates. Under the Orphan Drug Act, the FDA may designate a drug product as an orphan drug if it is intended to treat a rare disease or condition, defined as a patient population of fewer than 200,000 in the United States, or a patient population greater than 200,000 in the United States but where there is no reasonable expectation to recover the costs of developing and marketing a treatment drug in the United States. In the United States, orphan drug designation entitles a party to financial incentives such as opportunities for grant funding towards clinical trial costs, tax advantages, and application fee waivers. However, orphan drug designation neither shortens the development time nor regulatory review time of a product candidate nor gives the candidate any advantage in the regulatory review or approval process.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the first FDA approval for the disease or condition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Even if we obtain orphan drug designation, we may not be the first to obtain marketing approval for any particular orphan disease or condition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orphan medicinal product designation for atacicept in the EU in October 2024. In the EU, a medicinal product may receive orphan designation under Article 3 of Regulation (EC) 141/2000 if its sponsor can establish that (i) the product is intended for the diagnosis, prevention or treatment of a life-threatening or chronically debilitating condition and (ii) either (1) such condition affects no more than five in 10,000 persons in the EU when the application is made, or (2) the product, without the benefits derived from orphan status, would be unlikely to generate sufficient returns in the EU to justify the necessary investment in its development.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The application for orphan designation must be submitted before the application for marketing authorization. Orphan medicinal product designation entitles an applicant to financial incentives such as fee reductions or fee waivers, protocol assistance, and access to the centralized marketing authorization procedure. Moreover, upon grant of a marketing authorization and assuming the requirements for orphan designation are also met at the time the marketing authorization is granted, orphan medicinal product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is extended by two years for orphan medicinal products that have also complied with an agreed pediatric investigation plan. No extension to any supplementary protection certificate can be granted on the basis of pediatric studies for orphan indications. Orphan medicinal product designation does not convey any advantage in, or shorten the duration of, the regulatory review and approval process. This market exclusivity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a marketing authorization may be granted to a similar medicinal product with the same orphan indication during the ten year period of market exclusivity on an individual basis in very select cases, such as with consent from the marketing authorization holder, if the manufacturer of the original orphan medicinal product is unable to supply sufficient quantities of the authorized product or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received orphan drug designation for atacicept in Japan in September 2025. In Japan, drugs can be designated as orphan drugs if they are (1) intended for use in less than 50,000 patients in Japan or, if the usage is for a designated intractable disease, the number of patients is less than approximately one-thousandth of the population; (2) there is a high medical need due to the seriousness of the disease for which there are no sufficient alternative drugs or treatments or high efficacy or safety is expected with the new drug compared with existing products; and (3) the development plan is appropriate and there is reasonable possibility of development success. The benefits of orphan drug designation in Japan include subsidies to reduce the financial burden of product development, guidance and consultation from governmental agencies on development activities with a priority consultation system, tax credits for development costs, eligibility for priority review, and following approval, extension of the exclusivity period for up to ten years as well as premium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receive or maintain orphan drug designation for our product candidates, it could limit our ability to realize revenues.</w:t>
      </w:r>
    </w:p>
    <w:p>
      <w:pPr>
        <w:pStyle w:val="TextBody"/>
        <w:bidi w:val="0"/>
        <w:jc w:val="left"/>
        <w:rPr>
          <w:rFonts w:ascii="Times New Roman" w:hAnsi="Times New Roman"/>
          <w:b/>
          <w:i/>
          <w:color w:val="000000"/>
          <w:sz w:val="20"/>
        </w:rPr>
      </w:pPr>
      <w:r>
        <w:rPr>
          <w:rFonts w:ascii="Times New Roman" w:hAnsi="Times New Roman"/>
          <w:b/>
          <w:i/>
          <w:color w:val="000000"/>
          <w:sz w:val="20"/>
        </w:rPr>
        <w:t>Even though MAU868 has Fast Track designation from FDA for the prevention of BK viremia in renal transplant and hematopoietic stem cell transplant, it may not lead to a faster development or regulatory review or approval process, and will not increase the likelihood that MAU868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drug or biologic is intended for the treatment of a serious or life-threatening condition or disease, whether alone or in combination with other drugs or biologics, and nonclinical or clinical data demonstrate the potential to address an unmet medical need for such condition or disease, the product candidate may qualify for FDA Fast Track designation, for which sponsors must apply. The FDA has broad discretion whether or not to grant this designation. Fast Track designation allows for more frequent communication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FDA and the potential for rolling review of a marketing application. Although we have received Fast Track designation for the investigation of MAU868 for the prevention of BK viremia in renal transplant and hematopoietic stem cell transplant recipients, we may not experience a faster development process, review or approval compared to conventional FDA procedures. In addition, the FDA may withdraw Fast Track designation if it believes that the designation is no longer supported by data from our clinical development program.</w:t>
      </w:r>
    </w:p>
    <w:p>
      <w:pPr>
        <w:pStyle w:val="TextBody"/>
        <w:bidi w:val="0"/>
        <w:jc w:val="left"/>
        <w:rPr>
          <w:rFonts w:ascii="Times New Roman" w:hAnsi="Times New Roman"/>
          <w:b/>
          <w:i/>
          <w:color w:val="000000"/>
          <w:sz w:val="20"/>
        </w:rPr>
      </w:pPr>
      <w:r>
        <w:rPr>
          <w:rFonts w:ascii="Times New Roman" w:hAnsi="Times New Roman"/>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any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For example, endpoints assessing changes in 24-hour urine protein-to-creatinine ratio (UPCR) have been accepted by FDA as surrogate primary endpoints for clinical trials of drugs targeting patients with IgAN, while assessments of estimated glomerular filtration rate (eGFR) slope have been viewed by regulators as the more conventional endpoint assessing clinical benefit in IgAN patients. We are currently seeking accelerated approval for atacicept based on the UPCR endpoint results observed in our ORIGIN 3 trial while continuing the trial to collect eGFR data to demonstrate improvement in kidney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complete ongoing trials and/or conduct, in a diligent manner, additional post-approval confirmatory studies to verify and describe the drug’s clinical benefit and to report regularly to the FDA on progress of such trials. Additionally, unless and until converted to full approval at the time of satisfying the conditions of any accelerated approval letter, the sponsor must submit any promotional materials for the accelerated approval drug to FDA at least 30 days prior to use. Third-party payors may refuse to provide coverage or reimbursement for the drug until the confirmatory studies are complete. Additionally, if such post-approval studies fail to confirm the drug’s clinical benefit, or if the product sponsor fails to complete any confirmatory studies in a timely manner, the FDA may withdraw its approval of the drug on an expedited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accelerated approval for any of our other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comparable foreign regulatory authorities could also require us to conduct further studies prior to considering our application or granting approval of any type. A failure to obtain accelerated approval or any other form of expedited review or approval for our product candidates would result in a longer time period to commercialization of such product candidate, could increase the cost of development of such product candidate and could harm our competitive position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some which provide incentives similar to the Breakthrough Therapy designation in the United States. For instance, 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competent regulatory authorities in the EU have broad discretion whether to grant such an accelerated assessment, conditional marketing authorization or marketing authorization under exceptional circumstances, and, even if such assessment or authorization is granted, we may not experience a faster development process, review or authorization compared to conventional procedures. Moreover, the removal or threat of removal of such marketing authorizations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A Breakthrough Therapy Designation from the FDA, even if granted for any of our product candidates, may not lead to a faster development or regulatory review or approval process, and does not increase the likelihood that our product candidates will receive FDA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Breakthrough Therapy Designation from the FDA for atacicept for the treatment of IgAN, and we may seek additional Breakthrough Therapy Designations for our product candidates where we believe the clinical data support such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Products designated as Breakthrough Therapies also receive the same benefits associated with Fast Track designation, including eligibility for rolling review of a submitted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or review and does not assure ultimate approval by the FDA. In addition, even if one or more of our product candidates qualify as Breakthrough Therapies, the FDA may later decide that the product candidate no longer meets the conditions for qualification and rescind the designation.</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policy changes could hinder their ability to hire, retain or deploy key leadership and other personnel, and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Disruptions at the FDA and other agencies may also prolong the time necessary for new biologics or modifications to approved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changes in policy,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planned regulatory submissions, which could have a material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Biosimilars to our product candidates may provide competition sooner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of 2010 (collectively, the Affordable Care Act), signed into law on March 23, 2010, includes a subtitle called the Biologics Price Competition and Innovation Act of 2009 (BPCIA), which created an abbreviated approval pathway for biological products that are biosimilar to or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will be substituted for any one of our reference products in a way that is similar to traditional generic substitution for non-biological products will depend on a number of marketplace and regulatory factors that are still developing.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upon receiving a marketing authorization, innovative medicinal products are generally entitled to receive eight years of data exclusivity and an additional two years of market exclusivity. Data exclusivity, if granted, prevents regulatory authorities in the EU from referencing the innovator’s data to assess a generic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 until ten years have elapsed from the initial marketing authorization of the reference product in the EU. The overall ten-year period may, occasionally, be extended for a further year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chemical/biological entity, and products may not qualify for data exclusivity. 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approved products are subject to biosimilar competition sooner than we expect, we will face significant pricing pressure and our commercial opportunity will be limited.</w:t>
      </w:r>
    </w:p>
    <w:p>
      <w:pPr>
        <w:pStyle w:val="TextBody"/>
        <w:bidi w:val="0"/>
        <w:jc w:val="left"/>
        <w:rPr>
          <w:rFonts w:ascii="Times New Roman" w:hAnsi="Times New Roman"/>
          <w:b/>
          <w:i/>
          <w:color w:val="000000"/>
          <w:sz w:val="20"/>
        </w:rPr>
      </w:pPr>
      <w:r>
        <w:rPr>
          <w:rFonts w:ascii="Times New Roman" w:hAnsi="Times New Roman"/>
          <w:b/>
          <w:i/>
          <w:color w:val="000000"/>
          <w:sz w:val="20"/>
        </w:rPr>
        <w:t>The successful commercialization of any product candidate we develop will depend in part on the extent to which governmental authorities, private health insurers, and other third-party payors provide coverage and adequate reimbursement. Failure to obtain or maintain coverage and adequate reimbursement for our product candidates, if any and if approved, could limit our ability to market those products and decrease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our product candidates in the United States, the EU, Japan, and certain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in the United States, the EU, and other jurisdictions, market acceptance and sales of an approved product candidate will depend significantly on the availability of adequate coverage and reimbursement from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treatments. If we obtain marketing approval of a product candidate,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any product candidates we develop. Even if coverage is provided, the approved reimbursement amount may not be sufficient to allow us to establish or maintain pricing to support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In the United States, for example, the Centers for Medicare &amp; Medicaid Services (CMS), an agency within the U.S. Department of Health and Human Services (HHS), determines which new products will be covered and reimbursed under Medicare. Private third-party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Governmental payors, as well as other third-party payors, including pharmacy benefit managers,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our product candidates may not be considered medically necessary or cost effective. We cannot be sure that coverage and reimbursement will be available for any product that we commercialize and, if reimbursement is available, whether the level of reimbursement will be adequate.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pharmaceutical sales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those we are developing or may develop in the future.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study that compares the cost-effectiveness of our product candidates or any future product candidates we may develop to other available therapies. The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jc w:val="left"/>
        <w:rPr>
          <w:rFonts w:ascii="Times New Roman" w:hAnsi="Times New Roman"/>
          <w:b/>
          <w:i/>
          <w:color w:val="000000"/>
          <w:sz w:val="20"/>
        </w:rPr>
      </w:pPr>
      <w:r>
        <w:rPr>
          <w:rFonts w:ascii="Times New Roman" w:hAnsi="Times New Roman"/>
          <w:b/>
          <w:i/>
          <w:color w:val="000000"/>
          <w:sz w:val="20"/>
        </w:rPr>
        <w:t>Current and future healthcare reform legislation or regulation may increase the difficulty and cost for us to commercialize our product candidates and may adversely affect the prices we may obtain and may have a negative impact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be 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Affordable Care Act substantially changed healthcare financing, access, and delivery by both governmental and private insurers. The Affordable Care Act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Under currently applicable U.S. law, certain products not usually self-administered, including injectable drugs, may be eligible for coverage under Medicare Part B. As a condition of receiving Medicare Part B reimbursement, manufacturers are required to participate in other government healthcare programs, including the Medicaid Drug Rebate Program and the 340B Drug Pricing Program, which requires manufacturers to extend discounts to participating entities. These programs may be subject to change as a result of future health reform measures and may reduce the profitability of any successfully commercialized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Affordable Care Act was enacted in 2010. These changes include aggregate reductions to Medicare payments to providers pursuant to the Budget Control Act of 2011, which began in 2013, and due to subsequent legislative amendments to the statute will remain in effect until 2032, unless additional congressional action is taken. Additionally, the American Rescue Plan Act of 2021 eliminated the statutory Medicaid drug rebate cap, previously set at 100% of a drug’s average manufacturer price, effective January 1, 2024. These laws may result in additional reductions in Medicare and other healthcare funding, which could have an adverse effect on customers for our product candidates, if approved, and, accordingly, our financial operations. In addition, Congress is considering additional health reform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Most significantly, the Inflation Reduction Act of 2022 (IRA) was signed into law in August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(starting in 2025), and replaces the Part D coverage gap discount program with a new discounting program (which began on January 1, 2025). CMS has published the negotiated prices for the initial ten drugs, which will first be effective in 2026, and the subsequent 15 drugs, which will first be effective in 2027. Each year thereafter, more Part B and Part D products will become subject to the HHS price negotiation program, although the program is currently subject to legal challenges. HHS has issued and will continue to issue guidance implementing the IRA. While the impact of the IRA on us and the pharmaceutical industry cannot yet be fully determined, it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 proposals will be implemented, the policies may have a negative impact on the pharmaceutical industry and on our ability to receive adequate revenues for any product candidate we commercialize. On the one hand, significant tariffs have been threatened to be imposed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Such regulatory proposals or executive actions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 If most favored nation pricing was ever to be codified by legislation, it could have a significant financial impact on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reimbursement-constraints, discounts, restrictions on certain product access, marketing cost disclosure, drug price reporting and other transparency measures, and, in some cases, designed to encourage importation from other countries and bulk purchasing. One state has utilized a so-called prescription drug affordability board to impose an upper payment limit in the state, while another state has enacted legislation that bans price increases that outpace inflation. Other enacted state laws affect the distribution of pharmaceuticals. Legally mandated price controls on payment amounts by third-party payors or other restrictions could harm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health reform measures may continue and affect our business in unknown ways, including proposed policies to reduce regulations and expenditures across government agencies, which could create additional uncertainty for our business.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Affordable Care Act, the IRA, as well as other healthcare reform measures that may be adopted in the future, particularly under the Trump administration,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achieve and sustain profitability or commercialize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future potential marketing approvals for our product candidates and ongoing regulation regarding promotional activities and post-market obligations may limit how we manufacture and market products that are approved, and compliance with such requirements may involve substantial resources, which could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and comparable foreign regulations and guidance may be revised or reinterpreted by the competent authorities in ways that may significantly affect our business and our products. Any new regulations or guidance, or revisions or reinterpretations of existing regulations or guidance, may impose additional costs or lengthen review times for our product candidates. We cannot determine how changes in regulations, statutes, policies, or interpretations when and if issued, enacted or adopted, may affect our business in the future. Such changes could, among other things,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clinical trials to be conducted prior to obtaining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manufacturing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replacements, or discontinuance of one or more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recordkeeping.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2014 and repeals the EU Clinical Trials Directive (CTD), became applicable on January 31, 2022. While the CTD required a separate clinical trial application (CTA), to be submitted in each EU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(and related applications) are fully subject to the provisions of the CTR. Compliance with the CTR requirements by us and our third-party service providers, such as CROs, may impact our developments plans. In light of the entry into application of the CTR on January 31, 2022, we were required to transition clinical trials for which we have obtained regulatory approvals in accordance with the CTD to the regulatory framework of the CTR. Transition of clinical trials governed by the CTD to the CTR was required for clinical trials which had at least one site active in the EU on January 30, 2025. A timely transitioning application was filed with the competent authorities of EU Member States through the Clinical Trials Information Systems in order to continue the clinical trial past January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CTD, into closer alignment with the CTR. The amendment will become applicable on April 28, 2026 following a one-year transition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 EU adopted their respective positions on April 10, 2024 and June 4, 2025. Subsequent inter-institutional trilogue negotiations are expected to last until at least the end of 2025/early 2026 and a common position on the text was agreed upon on December 11, 2025, in the context of subsequent inter-institutional trilogue negotiations. The proposed revisions remain to be adopted, and are not expected to become applicable before 2028.</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approvals for any other products would harm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state and foreign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professionals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implementing regulations, also imposes obligations, including mandatory contractual terms, upon certain covered healthcare providers, health plans, and healthcare clearinghouses as well as their respective business associates and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state and foreign laws require biotechnology companies to comply with the biotechnology industry’s voluntary compliance guidelines and the relevant compliance guidance promulgated by the government and may require drug manufacturers to report information related to payments and other transfers of value to physicians and other healthcare professionals or marketing expenditures. Some state and foreign laws require biotechnology companies to report information on the pricing of certain drug products. Some state and local laws require the registration of pharmaceutical sales representatives.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 Outside the United States, interactions between pharmaceutical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and other healthcare professionals in certain EU Member States must be publicly disclosed. Moreover, agreements with physicians and other healthcare professionals may require prior notification or approval by the physician’s or other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professionals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actions)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information we collect about trial participants in connection with clinical trials in the U.S. and abroad, and sensitive third-party information (collectively, sensitive information). Our data processing activities subject us to numerous obligations relating to data privacy and security, such as various state, federal, and foreign laws, regulations, guidance, industry standards, external and internal privacy and security policies, contractual obligations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our operations may be subject to an increasing number of laws, regulations and industry standards governing data privacy and security. For example, the EU’s General Data Protection Regulation (EU GDPR) and the UK’s Data Protection Act 2018 (UK GDPR) (collectively, GDPR), Canada’s Personal Information Protection and Electronic Documents Act (PIPEDA), Australia’s Privacy Act, India’s Information Technology Act, China’s Personal Information Protection Law (PIPL) and South Korea’s Personal Information Protection Act impose strict requirements for processing of personal data, including clinical trials participants and other individuals. For instance, companies that violate the GDPR can face private litigation related to processing of personal data brought by classes of data subjects or consumer protection organizations authorized at law to represent their interests, temporary or definitive prohibitions on data processing and other corrective actions, fines of up to the greater of 20 million Euros under the EU GDPR / 17.5 million pounds under the UK GDPR, or 4% of their worldwide annual revenue, whichever is higher. Furthermore, China’s PIPL imposes a set of specific obligations on covered businesses in connection with their processing and transfer of personal data and imposes fines of up to RMB 50 million or 5% of the prior year’s total annual revenue of the violator.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consequences, including the interruption or degradation of our operations, the need to relocate part of or all of our business or data processing activities to other jurisdictions (such as the EEA and/or UK)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out of the EEA for allegedly violating the EU GDPR’s cross-border data transfer limitations. Additionally, companies that transfer personal data out of the EEA and/or UK to other jurisdictions, particularly to the United States, are subject to increased scrutiny from regulators, individual litigants, and activist groups. Regulators in the United States are also increasingly scrutinizing certain personal data transfers and have imposed, and may in the future impose, certain personal data transfer or localization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other similar laws (e.g. wiretapping laws). For example, HIPAA, as amended by HITECH, imposes, among other things, specific requirements relating to the privacy, security, and transmission and breach reporting of individually identifiable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the CCPA), requires covered businesses that process the personal data of California residents to, among other things: to (i) provide specific disclosures to California residents in privacy notices; (ii) honor requests of such individuals to exercise certain privacy rights; and (iii) enter into specific contractual provisions with service providers that process California resident personal data on the business’s behalf. The CCPA also provides for fines and allows private litigants affected by certain data breaches to recover significant statutory damages. Although there are limited exemptions for clinical trial data under the CCPA, the CCPA increases compliance costs and potential liability with respect to other personal data we maintain about California residents. Similar laws have been enacted or are being considered in several other states, as well as at the federal and local levels, and we expect more states to pass similar laws in the future. While certain of these laws exempt or may exempt data processed in the context of clinical trials,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All of these evolving compliance and operational requirements impose significant costs that are likely to increase over time, may require us to modify our information processing practices and policies, divert resources from other initiatives and projects, including increased costs related to insurance, cybersecurity and information technology, and could restrict the way products and services involving data are offered, all of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 to comply with our data privacy and security obligations. Moreover, despite our efforts, our personnel or third-party partners (such as contract research organizations and clinical trial sites) may fail (or be perceived to have failed) to comply with such obligations, which could negatively impact our business operations. If we or our third-party partners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 actions)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sensitive information or to operate in certain jurisdictions; limited ability to develop or commercialize our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expenditure of time and resources to defend any claim or inquiry; adverse publicity; or substantial changes to our business model or operations.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jc w:val="left"/>
        <w:rPr>
          <w:rFonts w:ascii="Times New Roman" w:hAnsi="Times New Roman"/>
          <w:sz w:val="20"/>
        </w:rPr>
      </w:pPr>
      <w:r>
        <w:rPr>
          <w:rFonts w:ascii="Times New Roman" w:hAnsi="Times New Roman"/>
          <w:b/>
          <w:i/>
          <w:color w:val="000000"/>
          <w:sz w:val="20"/>
        </w:rPr>
        <w:t>We are subject to various laws relating to foreign investment and the export of certain technologies, and our failure to comply with these laws or adequately monitor the compliance of our suppliers and others we do business with could subject us to substantial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fines, penalties and even injunctions, the imposition of which on us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Unfavorable geopolitical and global economic conditions, including tariffs and trade tensions,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the global financial markets, and adverse geopolitical and macroeconomic developments. U.S. and global market and economic conditions have been, and continue to be, volatile due to many factors, including tariffs and trade tensions, supply chain challenges, ongoing military conflicts, related sanctions, changes in U.S.-China relations, elevated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bank failures, liquidity of the global financial markets,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severe or prolonged global economic downturn could result in a variety of risks to our business. For example, inflation rates, particularly in the United States, have been significantly elevated compared to recent historical levels, and continued high rates of inflation may result, directly or indirectly, in increases in our operating costs (including our labor costs) and limits on our ability to access credit or otherwise raise capital on acceptable terms, if at all.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invasion of Ukraine by Russia,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counter-measures imposed by Russia, in addition to the ongoing military conflict between Ukraine and Russia,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As a result, our business and results of operations, including conduct of any global clinical trials with sites in eastern Europe and western Asia,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Tensions between the United States and China have increased over the past few years as a result of disputes in areas including trade policy, intellectual property, cybersecurity and data privacy, as well as due to geopolitical conflicts such as the war between Ukraine and Russia. We conduct manufacturing and clinical development activities in China. Any unfavorable government policies on cross-border relations or international trade, changes to law, executive orders, tariffs, treaties or trade agreements, or deterioration in U.S.-China relations or international trade may adversely affect the import or export of our drug candidates and materials required for manufacturing or otherwise delay our product development activities, which could in turn have a material adverse effect on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 and key consultants.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although we have employment offer letters with each of our executive officers, each of them may terminate their employment with us at any time. We do not maintain “key person” insurance for all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is adversely impacting, and may continue to adversely impact,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or future tariffs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tariffs and trade restrictions could hinder our ability to establish cost-effective production capabilities, negatively impacting our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results of operations and financial condition. In addition, trade developments have and may continue to heighten the risks related to the other risk factors described elsewhere in this Annual Report.</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establish sales or marketing capabilities or enter into agreements with third parties to sell or market our product candidates, we may not be able to successfully sell or market such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our product candidates, if approved,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product candidate that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organization, we have never commercialized a product candidate, and we are currently building marketing, sales force, market access, and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affect our ability to commercialize our current or any future product candidate we may develop, on our own include recruiting and retaining adequate numbers of effective sales and marketing personnel, obtaining access to or educating adequate numbers of physicians on the benefits of our current or any future product candidates we may develop and other unforeseen costs associated with creating an independent sales and marketing organization. Developing a sales and marketing organization will be expensive and time-consuming and could delay the launch of any of our product candidates, if approved. We may not be able to build an effective sales and marketing organization. If we are unable to build our own distribution and marketing capabilities or to find suitable partners for the commercialization of our current or any future product candidate we may develop, we may not generate revenues from such product candidate or be able to achieve or sustain profitability.</w:t>
      </w:r>
    </w:p>
    <w:p>
      <w:pPr>
        <w:pStyle w:val="TextBody"/>
        <w:bidi w:val="0"/>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249 full-time employees, including 144 employees engaged in research and development.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FDA and other comparable foreign regulatory authorities’ review processes for our product candidates, while complying with any contractual obligations to contractors and other third parties we may have;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conducting multiple clinical trials of atacicept. Given the small size of our organization, we may encounter difficulties managing multiple clinical trials at the same time, which could negatively affect our ability to manage growth of our organization. 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pStyle w:val="TextBody"/>
        <w:bidi w:val="0"/>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is located in Brisbane, California, in a region which in the past has experienced severe earthquakes and fires. If earthquakes, fires, other natural disasters, terrorism or similar unforeseen events beyond our control prevent us from using all or a significant portion of our office facilities, it may be difficult or, in certain cases, impossible for us to continue our business for a period of time. We do not have a comprehensive internal disaster recovery or business continuity plan in place and any third-party service provider plans are limited in nature. We may incur substantial expenses as a result of the absence or limited nature of our plans, which could have a material adverse effect on our business. Furthermore, parties integral to our supply chain are operating from single sites, increasing their vulnerability to natural disasters or other sudden, unforeseen and severe adverse events. If such an event were to affect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supply chain, it could have an adverse effect on our development plans and ability to conduct our clinical trials, and future commercialization plans.</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tax reform legislation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Inflation Reduction Act of 2022 includes provisions that will affect the U.S. federal income taxation of corporations, including imposing a minimum tax on the book income of certain large corporations and an excise tax on certain corporate stock repurchases that would be imposed on the corporation repurchasing such stock. Future guidance from the Internal Revenue Service and other tax authorities with respect to new or existing tax legislation may affect us, and certain aspects of such legislation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foreign earnings, and the deductibility of expenses under tax legislation could have a material impact on the value of our deferred tax assets, could result in significant one-time charges, and could increase our future U.S. tax expense. We continue to examine the impact tax legislation may have on our business. We urge investors to consult with their legal and tax advisers regarding the implications of past and potential future changes in U.S. tax laws on an investment in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during our history, we expect to continue to incur significant losses for the foreseeable future, and we may never achieve profitability. As of December 31, 2025, we had federal and state net operating loss (NOL) carryforwards of $389.9 million and $42.3 million, respectively, of which $10.2 million of federal NOL carryforwards and $37.0 million of state NOL carryforwards will begin expiring in the years 2032 and 2036, respectively, if not utilized. We also have $379.6 million of federal NOL carryforwards as of December 31, 2025 that do not expire. Our NOL carryforwards are subject to review and possible adjustment by the U.S. and state tax authorities. NOLs generated in tax years ending on or prior to December 31, 2017 are only permitted to be carried forward for 20 taxable years under applicable U.S. federal tax law. NOLs arising in tax years beginning after December 31, 2017, and before January 1, 2021 may be carried back to each of the five tax years preceding the tax year of such loss, and NOLs arising in tax years beginning after December 31, 2020 may not be carried back. Federal NOLs generated in tax years ending after December 31, 2017 may be carried forward indefinitely, but the deductibility of such federal NOLs is limited to 80% of current year taxable income.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after 2023 and before 2027. It is generally uncertain if and to what extent various states will conform to federal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an adverse effect on our cash flows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A variety of risks associated with marketing our current or any future product candidate we may develop internationally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of our current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significantly harm our business, financial condition, results of operations and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Our success depends on our ability to protect our intellectual property and our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and our current or future licensors’, licensees’ or collaborators’ ability to obtain and maintain proprietary or intellectual property protection in the United States and other countries for our product candidates and technologies related to their various uses. We generally seek to protect our proprietary position by, among other things, filing patent applications in the United States and abroad related to our proprietary technologies, and their manufacture and uses that are important to our business, as well as inventions and improvements that are important to the development and implementation of our business. Our owned and in-licensed patents and patent applications in both the United States and certain foreign jurisdictions relate to our product candidates. There can be no assurance that the claims of our owned or in-licensed patents, or any patent application that issues as a patent, will exclude others from making, using or selling our product candidates or any future product candidates or products that are substantially similar to our product candidates or any future product candidates. We also rely on trade secrets, know-how and continuing technological innovation to develop and maintain our proprietary and intellectual property position. We may seek to protect our proprietary position by acquiring or in-licensing additional relevant issued patents or pending applications from third parties. If we or our potential licensors, licensees or collaborators are unable to obtain or maintain patent protection with respect to our product candidates, proprietary technologies and their uses,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owned or in-licensed patent applications or our current or future licensors’, licensees’ or collaborators’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the future, some of our owned or in-licensed patents and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U.S. pending patent applications and corresponding international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must be filed in advance of certain events (e.g., third-party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or in-licensed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breach our license agreement with Ares, an affiliate of Merck related to atacicept, the license agreement with Novartis related to MAU868, or the license agreement with Stanford related to VT-109, we could lose the ability to continue the development and commercialization of atacicept, MAU868, or VT-109,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patents, know-how and proprietary technology licensed or sublicensed to us from Ares, Novartis, and Stanford. Our commercial success depends upon our ability to develop, manufacture, market and sell our product candidates and use our and our licensor’s proprietary technologies without infringing the proprietary rights of third parties. Ares, Novartis, or Stanford may have the right to terminate the applicable license agreement in full in the event we materially breach or default in the performance of any of the obligations under the applicable license agreement. A termination of any of our existing license agreements could result in the loss of significant rights and could harm our ability to commercialize our product candidates. Additionally, certain patents, know-how and proprietary technology of third parties, including certain composition of matter patents, are sublicensed to us and in the event the applicable license agreement terminates, expires or is in dispute, it could result in the loss of significant rights and could harm our ability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between us and Ares, an affiliate of Merck, Novartis, Stanford, or any future potential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acquired worldwide, exclusive rights to atacicept pursuant to the Ares Agreement, and worldwide, exclusive rights to develop, manufacture and commercialize MAU868 pursuant to the asset purchase agreement (Amplyx Agreement) with Amplyx Pharmaceuticals, Inc. (Amplyx), a wholly owned subsidiary of Pfizer, Inc., pursuant to which we acquired Amplyx’s right, title and interest in the license agreement between Amplyx and Novartis related to MAU868. We also entered into an exclusive license agreement with Stanford for rights to VT-109. The Ares Agreement, Novartis License, and Stanford Agreement are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such agreement, either of which could have an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develop and commercialize the affected product candidates, which could have an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We may be required to make significant payments under our license agreements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license under the Ares Agreement, we paid Ares $25.0 million in 2020 upon delivery and initiation of the transfer of specified information and materials and $15.0 million in January 2026 upon achievement of the BLA filing. We are required to pay Ares additional aggregate milestone payments, including $20.0 million due upon regulatory approval for IgAN in the U.S., and up to $141.5 million upon the achievement of regulatory filing and approval milestones for other geographic regions and indications, and aggregate milestone payments of up to $515.0 million upon the achievement of specified worldwide aggregate net sales milestones, beginning with $15.0 million if net sales reach $250.0 million and $50.0 million if net sales reach $500.0 million. Commencing on the first commercial sale of licensed products, we are obligated to pay tiered royalties of low double-digit to mid-teen percentages on annual net sales of the products covered by the license. In the event we sublicense our rights under the Ares Agreement, we are obligated to pay Ares a percentage ranging from the mid-single-digit to the low double-digits of specified sublicensing income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Amplyx Agreement, we are obligated to make certain milestone payments to Amplyx in an aggregate amount of up to $7.0 million based on the achievement of certain regulatory milestones. Further, we are required to pay Amplyx low single digit percentage royalties on net sales of MAU868 on a country-by-country and product-by-product basis. In addition, pursuant to the Novartis License, we are obligated to make certain milestone payments to Novartis in an aggregate amount of up to $62.0 million based on the achievement of certain clinical development, regulatory and sales milestones. Further, we are required to pay Novartis mid-to high-single digit percentage royalties based on net sales of MAU868 on a country-by-country and product-by-product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Stanford Agreement, we are obligated to make certain milestone payments to Stanford based on the achievement of certain development, regulatory, and commercial milestones. Further, we are required to pay Stanford royalties based on net sales of VT-109 worldwide. In the event we sublicense our rights under the Stanford Agreement, we are obligated to pay Stanford a percentage of specified sublicensing income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milestone or other non-royalty obligations become due, we may not have sufficient funds available to meet our obligations, which will adversely affect our business operations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positions of biotechnology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technologies and product candidates. In addition, the laws of foreign countries may not protect our rights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same extent as the laws of the United States. For example, many countries restrict the patentability of methods of treatment of the human body.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or was identified during examination of a patent application so that, even if a patent issues, it may be susceptible to challenge that it is not valid over art that was not considered during its examination.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our product candidates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patents or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detect infringement of our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but that are not covered by the claims of the patents that we may in-license in the future or 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seek or may have already obtained patents that will limit, interfere with or eliminate our ability to make, use and sell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collaborators or license partners, might not have been the first to make the inventions covered by the issued patents or patent applications that we may in-license in the future or 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collaborators or license partners, might be found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pending patent applications we may in-license in the future or own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there are prior public disclosures that could invalidate our patents, or parts of our patents, for which we are not aware;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may not have sufficient term or geographic scope to provide meaningful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and a third party may subsequently file a patent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adversarial activity, both within and outside the United States, involving patent and other intellectual property rights in the biotechnology industry, including patent infringement lawsuits, and proceedings, such as oppositions, reexaminations, IPR proceedings, PGR proceedings, and other third party submissions, before the USPTO and/or corresponding foreign patent offices. In addition, many companies in intellectual property-dependent industries, including the biotechnology industry, have employed intellectual property litigation as a means to gain an advantage over their competitors. Numerous third-party U.S. and foreign issued patents and pending patent applications may exist in the fields in which we are developing our product candidates. There may be third-party patents or patent applications with claims to compositions, formulations, methods of manufacture or methods for treatment related to the use or manufacture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biotechnology industry expands and more patents are issued, the risk increases that our product candidates may be subject to claims of infringement of the patent rights of third parties. Because patent applications are maintained as confidential for a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period of time, until the relevant application is published, we may be unaware of third-party patents that may be infringed by commercialization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misappropriation or other violations asserted by third parties would be time 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 that may cause negative publicity;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significant liability to third parties;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processes for our product candidates to avoid infringement,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determination in a judicial or administrative proceeding, or the failure to obtain necessary licenses, could prevent us from developing and commercializing our product candidates, which could significantly harm our business, financial condition and operating results. In addition, intellectual property litigation, regardless of its outcome, may cause negative publicity and could prohibit us from marketing or otherwise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from third parties that we identify as necessary for future product candidates we may develop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may have in-licensed patents that cover our product candidates, it is possible that third parties may have blocking patents that prevent us from marketing, manufacturing or commercializing our patented products and practicing our in-licensed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unsuccessful in acquiring or in-licensing compositions, methods of use, processes, or other intellectual property rights from third parties that we identify as necessary for practicing inventions claimed by our patents, including the manufacture, sale and use of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or in-licensed patents do not cover the technology in question. If we or any of our potential future collaborators were to initiate legal proceedings against a third party to enforce a patent directed at any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Derivation proceedings may be necessary to determine inventorship, and an unfavorable outcome may require us to cease using the related technology or to attempt to license rights from the prevailing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inventorship with respect to our patents or patent applications. An unfavorable outcome could require us to cease using the related technology or to attempt to license rights to it from the prevailing party. Our business could be harmed if the prevailing party does not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 us a license on commercially reasonable terms. Our defense of derivation proceedings may fail and, even if successful, may result in substantial costs and distract our management and other employees. In addition, the uncertainties associated with such proceedings could have an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particularly patents. Obtaining and enforcing patents in the biotechnology industry involve a high degree of technological and legal complexity. Therefore, obtaining and enforcing biopharmaceutical patents is costly, time consuming and inherently uncertain. 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has enacted and implemented wide-ranging patent reform legislation and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w:t>
      </w:r>
      <w:r>
        <w:rPr>
          <w:rFonts w:ascii="Times New Roman" w:hAnsi="Times New Roman"/>
          <w:color w:val="231F20"/>
          <w:sz w:val="20"/>
        </w:rPr>
        <w:t>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w:t>
      </w:r>
      <w:r>
        <w:rPr>
          <w:rFonts w:ascii="Times New Roman" w:hAnsi="Times New Roman"/>
          <w:color w:val="000000"/>
          <w:sz w:val="20"/>
        </w:rPr>
        <w:t xml:space="preserve"> An inability to obtain, enforce, and defend patents covering our proprietary technologies (including those for our product candidates) would adversely affect our business prospects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do not transfer or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may be necessary to defend against these and other claims challenging inventorship or ownership. If we fail in defending any such claims, in addition to paying monetary damages, we may lose valuable intellectual property rights. Such an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Generally, issued patents are granted a term of 20 years from the earliest claimed non-provisional filing date. Various extensions may be available, but there can be no assurance that any such extensions will be obtained, and the life of a patent, and the protection it affords, is limited.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There is a risk that we may take action that detracts from any accrued patent term adjustment.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earliest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per approved drug product, and only those claims covering the approved drug product,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impacted and our competitors may obtain approval to market competing products sooner. As a result, our revenue from applicable products could be reduced and could have a material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will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our product candidates without any available recourse.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conflict in Ukraine and related sanctions could significantly devalue our Russian and Eurasian patents. Recent Russian decrees may significantly limit our ability to enforce Russian patents. We cannot predict when or how this situation will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recordation of licenses with respect to exclusively licensed patent rights outside of the United States is potentially costly and we might fail to record such rights timely. If we fail to timely record our patent rights, third parties may try to seek licenses from the patent owners, or we may not be able to recover full damages for patent infringement in jurisdictions where we have no such recordations, any of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proprietary name we propose to use with our current or future products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or in-licensed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have wrongfully used or disclosed alleged confidential information or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may have previously provided or may be currently providing consulting services to, other biotechnology companies, including our competitors or potential competitors.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or patent applications.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rights to develop and commercialize our technology and product candidates may be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license agreements in the future with others to advance our research or allow commercialization of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an adverse effect on our competitive position,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past, current or future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the conduct of clinical trials, as well as Good Laboratory Practices (GLPs), which include regulations and guidelines governing the conduct of certain nonclinical studies. Regulatory authorities enforce GCPs through periodic inspections of trial sponsors, principal investigators and trial sites. If we or any of these third parties or our CROs fail to comply with applicable GCPs, GLPs, or similar requirements, the data generated in our studies and clinical trials may be deemed unreliable and the FDA or comparable foreign regulatory authorities may require us to perform additional clinical trials or nonclinical studies before approving our marketing applications, if ever. We cannot assure you that upon inspection by a given regulatory authority, such regulatory authority will determine that any of our clinical trials or nonclinical studies have complied with GCP or GLP regulations. In addition, our clinical trials must be conducted with product produced under cGMP regulations or similar foreign requirements. Failure to comply and maintain adequate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documentation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these investigators and CROs are not our employees and we will not be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In addition, our CROs could fail to perform, we could terminate their agreements or they could go out of business. If our relationships with our CROs terminate, we may not be able to enter into arrangements with alternative CROs or do so on commercially reasonable terms. Switching or adding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Additionally, CROs may lack the capacity to absorb higher workloads or take on additional capacity to support our needs. Though we intend to carefully manage our relationships with our CROs, there can be no assurance that we will not encounter challenges or delays with CROs in the future or that these delays or challenges will not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the rights to MAU868 from Amplyx, third parties had been responsible for all development activities. Although we believe these historical development activities were conducted in accordance with applicable rules and regulations in material respects, we cannot assure you that we will not discover inaccuracies or noncompliance in prior development activities that have an adverse effect on the future development of MAU868. For example, a regulatory authority may choose to inspect an investigational site and/or vendor such as a CRO for a MAU868 study that was previously conducted by Amplyx. Findings from such inspections could have an impact on the review of any future marketing applications by the FDA or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acquisition of MAU868, we have assumed the responsibility for ongoing clinical studies with MAU868, including related expenses and manufacturing and regulatory activities, which were previously managed and funded by Amplyx. This includes responsibility for the Phase 2 clinical trial of MAU868 for the treatment of reactivated BK virus (BKV) infection in kidney transplant recipients previously conducted by Amplyx. Any adverse events or reactions experienced by subjects in the trial may be attributed to MAU868 and may limit our ability to obtain regulatory approval with labeling that we consider desirable, or at all.</w:t>
      </w:r>
    </w:p>
    <w:p>
      <w:pPr>
        <w:pStyle w:val="TextBody"/>
        <w:bidi w:val="0"/>
        <w:jc w:val="left"/>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our ongoing clinical trials, and expect to continue to do so for additional clinical trials of our product candidates and ultimately for commercialization. This reliance on third parties increases the risk that we will not have sufficient quantities of our product candidates necessary for their development or commercialization,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the infrastructure or internal capability to manufacture supplies of our product candidates for use in development and commercialization. We rely, and expect to continue to rely, on third-party manufacturers for the production of our product candidates for clinical trials under the guidance of members of our organization. Furthermore, raw materials for our product candidates are sourced, in some cases, from a single source supplier.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rely on third-party manufacturers for the commercial supply of our product candidates,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supplies not being delivered to clinical sites on time, leading to clinical trial interruptions, or of drug supplies not being distributed to commercial vendors in a timely manner, resulting in lost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resulting from the effect of public health pandemics or epidemics;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control over the manufacturing process of, and are dependent on, our contract manufacturing partners for compliance with cGMP regulations or similar foreign requirements for manufacturing both active drug substances and finished drug products. Third-party manufacturers may not be able to comply with cGMP regulations or similar foreign requirements. If our contract manufacturers cannot successfully manufacture material that conforms to our specifications and the strict regulatory requirements of the FDA or other regulatory authorities, they will not be able to secure and/or maintain marketing approval for their manufacturing facilities. In addition, we have limited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We, or our contract manufacturers, any future collaborators and their contract manufacturers could be subject to periodic unannounced inspections by the FDA or other comparable foreign regulatory authorities, to monitor and ensure compliance with cGMP or similar foreign requirements. Despite our efforts to audit and verify regulatory compliance, one or more of our third-party manufacturing vendors may be found on regulatory inspection by the FDA or other comparable foreign regulatory authorities to be noncompliant with cGMP regulations or similar foreign requirements.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 candidates or other drugs necessary for the development or commercialization of our product candidates and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the third-party providers of therapies or therapies in development used in combination with our product candidates are unable to produce sufficient quantities for clinical trials or for commercialization of our product candidates, or if the cost of combination therapies is prohibitive, our development and commercialization efforts would be impaired,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other drugs necessary for the development or commercialization of our product candidates may adversely affect our future profit margins and our ability to commercialize any product candidates that receive marketing approval on a timely and competitive basis.</w:t>
      </w:r>
    </w:p>
    <w:p>
      <w:pPr>
        <w:pStyle w:val="TextBody"/>
        <w:bidi w:val="0"/>
        <w:jc w:val="left"/>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 for patients, if approved,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our product candidates. If those collaborations are not successful, we may not be able to capitalize on the market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may partner with third-party collaborators for the development and commercialization of our product candidates. Our likely collaborators for any future collaboration arrangements would likely include large and mid-size pharmaceutical companies, regional and national pharmaceutical companies and biotechnology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development programs and the potential commercialization of our current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candidates.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The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be, highly volatile and subject to wide fluctuations in response to various factors, some of which we cannot control. For example, the closing price of our common stock from January 1, 2025 to January 31, 2026, has ranged from a low of $18.86 to a high of $55.67.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nonclinical studies and clinical trials of our current or any future product candidates we may develop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Ares, an affiliate of Merck, including any termination or other change in our relationship with Ares or Merck;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Novartis, including any termination or other change in our relationship with Novartis or Amplyx;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Stanford, including any termination or other change in our relationship with Stanford;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release of clinical trial data from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securities by us, our insiders or our other stockholders;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general </w:t>
      </w:r>
      <w:r>
        <w:rPr>
          <w:rFonts w:ascii="Times New Roman" w:hAnsi="Times New Roman"/>
          <w:color w:val="000000"/>
          <w:sz w:val="20"/>
          <w:u w:val="single"/>
        </w:rPr>
        <w:t>g</w:t>
      </w:r>
      <w:r>
        <w:rPr>
          <w:rFonts w:ascii="Times New Roman" w:hAnsi="Times New Roman"/>
          <w:color w:val="000000"/>
          <w:sz w:val="20"/>
        </w:rPr>
        <w:t>eopolitical, macroeconomic, industry and market conditions, including tariffs and trade tensions, supply chain challenges, ongoing military conflicts, related sanctions, changes in U.S.-China relations, elevated inflation rates and the responses by central banking authorities to control such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trading prices for common stock of other biotechnology companies have been highly volatile as a result of factors unrelated to the specific company or its technology. Broad market and industry factors may negatively affect the market price of our common stock, regardless of our actual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negatively affected as a result of actions of activist stockholders, and such activism could impact the trading value of our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material weaknesses in internal control over financial reporting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Section 404 of the Sarbanes-Oxley Act of 2002 (Section 404) requires that we evaluate and determine the effectiveness of our internal control over financial reporting and provide a management report on internal control over financial reporting on an annual basis. Our independent registered public accounting firm is required to attest to our management report on internal control over financial reporting pursuant to the Sarbanes-Oxley Act of 2002. The process of compiling the system, process, and controls documentation necessary to perform the evaluation required under Section 404 is costly and challenging. We have incurred additional professional fees and other expenses and expended significant management efforts to comply with Section 404. In particular, these expenses and efforts increased in connection with the requirement to furnish an attestation report on internal control over financial reporting by our independent registered public accounting firm in our Annual Report on Form 10-K for the year ended December 31, 2024. We expect that these increased levels of expenses and efforts associated with Sarbanes-Oxley compliance will continue.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in the future identify material weaknesses in our internal control over financial reporting. If we identify any such material weaknesses, if we are unable to comply with the requirements of Section 404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in the future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71,267,429 shares of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our common stock have rights, subject to certain conditions, to require us to file registration statements covering the sale of their shares or to include their shares in registration statements that we may file for ourselves or our other stockholders. We also register all shares of common stock that we issue under our equity compensation plans. Such shares can be freely sold in the public market upon issuance, subject to volume limitations applicable to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in the past and may in the future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variety of means, including through public or private equity, debt financings or other sources, including up-front payments and milestone payments from strategic collaborations. For example, since our initial public offering, we have completed a number of follow-on public offerings of our common stock.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seek additional capital due to favorable market conditions or strategic considerations even if we believe we have sufficient funds for our current or future operating plans.</w:t>
      </w:r>
    </w:p>
    <w:p>
      <w:pPr>
        <w:pStyle w:val="TextBody"/>
        <w:bidi w:val="0"/>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2025 Loan Agreement restrict our ability to declare and pay dividends without the prior written consent of Oxford. Any return to stockholders will therefore be limited to any appreciation in the value of our common stock, which is not certain.</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our stockholders from calling a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any appellate court therefrom is the sole and exclusive forum for the following claims or causes of action under the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claim or cause of action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for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arising out of or pursuant to any provision of the DGCL, our amended and restated certificate of incorporation, or our bylaws (as each may be amended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as to which the DGCL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choice of forum provision would not apply to claims or causes of action brought to enforce a duty or liability created by the Securities Act, the Exchange Act or any other claim for which the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contained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or those of any of our third-party partners (such as contract research organizations and clinical trial sites), or our data are or were compromised, we could experience adverse consequences resulting from such compromise, including but not limited to regulatory investigations or actions; litigation; fines and penalties; disruptions of our business operations; reputational harm; additional costs;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our third-party partners (such as contract research organizations and clinical trial sites) process confidential information, including intellectual property, proprietary business information, preclinical and clinical trial data and personal data (such as sensitive information) (collectively, Confidential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and our third-party partners are vulnerable to a variety of evolving threats that could cause security incidents. Cyberattacks, malicious internet-based activity, online and offline fraud and other similar activities threaten the confidentiality, integrity, and availability of our Confidential Information and information technology systems, and those of our third-party partners. These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that are becoming increasingly sophisticated in using techniques and tools – including artificial intelligence – that circumvent security controls, evade detection and remove forensic evidence.</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actors, including without limitation nation-state and nation-state-supported actors, now engage and are expected to continue to engage in cyberattacks for geopolitical reasons and in conjunction with military conflicts and defense activities. During times of war and other major conflicts, we and our third-party partners (such as contract research organizations and clinical trial sites)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partners are also subject to a variety of evolving threats, including but not limited to errors or malfeasance by personnel, malware (including as a result of advanced persistent threat intrusions), malicious code (such as viruses and worms), software vulnerabilities, hacking, denial or degradation of service attacks, misconfigurations, credential stuffing, social-engineering attacks (including deep fakes, which may be increasingly more difficult to identify as fake, and phishing attacks), ransomware attacks, supply-chain attacks, software “bugs”, server malfunctions, software or hardware failures, loss of data or other information technology assets, adware, attacks enhanced or facilitated by AI, telecommunications and electrical failures, earthquakes, fires, floods and other similar threats. Any integration of AI in our or any third party’s operations, products or services is expected to pose new or unknown cybersecurity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severe ransomware attacks are becoming increasingly prevalent and can lead to significant interruptions in our operations, ability to provide our products or services, loss of Confidential Information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Confidential Information,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our reliance upon third-party partners and technologies to operate critical business systems and to process Confidential Information could introduce new cybersecurity risks and vulnerabilities, including supply-chain attacks, and other threats to our business operations. We rely on third-party partners in a variety of contexts, including, without limitation, third-party providers of cloud-based infrastructure, encryption and authentication technology, employee email, content delivery to customers, and other functions. We also rely on third-party partners to provide other products, services, parts, or otherwise to operate our business. Our ability to monitor these third parties’ cybersecurity practices is limited, and these third parties may not have adequate information security measures in place. </w:t>
      </w:r>
      <w:r>
        <w:rPr>
          <w:rFonts w:ascii="Times New Roman" w:hAnsi="Times New Roman"/>
          <w:color w:val="231F20"/>
          <w:sz w:val="20"/>
        </w:rPr>
        <w:t>If our third-party partners experience or have experienced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our third-party partners).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from time to time that could result in unauthorized, unlawful, or accidental acquisition, modification, destruction, loss, alteration, encryption, disclosure of, or access to our Confidential Information or our information technology systems, or those of the third-party partners. A security incident or other interruption could disrupt our ability (and that of our third-party partners (such as contract research organizations and clinical trial sites)) to provide our products or services. We may expend significant resources or modify our business activities (including our clinical trial activities) in an effort to protect against security incidents. Additionally, certain data privacy and security obligations may require us to implement and maintain specific security measures, industry-standard or reasonable security measures to protect our information technology systems and Confidential Information.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 For example, the loss of clinical trial data from completed or ongoing clinical trials could result in delays in our development and regulatory approval efforts and significantly increase our costs to recover or reproduce the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 Security incidents, or perceived security incidents, may result in material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consequences. These consequences may include: government enforcement actions (for example, investigations, fines, penalties, audits, and inspections); additional reporting requirements and/or oversight; restrictions on processing information (including personal data); substantial remediation costs; litigation (including class actions);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also be no assurance that our cybersecurity risk management program and processes, including our policies, controls or procedures, will be fully implemented, complied with or effective in protecting our information technology systems and Confidential Information.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certain that our insurance coverage will be adequate or sufficient to protect us from or mitigate liabilities arising out of our privacy and security practices, that such coverage will continue to be available to us on economically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Confidential Information about us from public sources, data brokers, or other means that reveals competitively sensitive details about our organization and could be used to undermine our competitive advantage or market position. Additionally, our Confidential Information could be leaked, disclosed or revealed as a result of or in connection with our employees’, personnel’s or third-party partners’ use of generative AI technologies.</w:t>
      </w:r>
    </w:p>
    <w:p>
      <w:pPr>
        <w:pStyle w:val="TextBody"/>
        <w:bidi w:val="0"/>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left"/>
        <w:rPr>
          <w:rFonts w:ascii="Times New Roman" w:hAnsi="Times New Roman"/>
          <w:b/>
          <w:i/>
          <w:color w:val="000000"/>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w:t>
      </w:r>
    </w:p>
    <w:p>
      <w:pPr>
        <w:pStyle w:val="TextBody"/>
        <w:bidi w:val="0"/>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result in more litigation and divert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that have materially affected, or are likely to materially affect, our internal controls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disclosing information in SEC filings required of a public company, our business and financial condition is more visible, which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securities or industry analysts publish about us, our business or our market. If few securities or industry analysts commence coverage of us, the stock price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color w:val="000000"/>
          <w:sz w:val="20"/>
        </w:rPr>
      </w:pPr>
      <w:bookmarkStart w:id="6" w:name="item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7" w:name="itemic_cybersecurity"/>
      <w:bookmarkEnd w:id="7"/>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developed, implemented and maintained a cybersecurity risk management program, designed to align with the National Institute of Standards and Technology Cybersecurity Framework 2.0 (NIST CSF 2.0), including various information security processes, designed to protect the confidentiality, integrity, and availability of our critical computer networks, third-party hosted services, communications systems, hardware and software, and our critical data, including intellectual property, confidential information that is proprietary, strategic or competitive in nature, and sensitive personal data, including that of our employees, consultants and clinical trial participants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integrated into our overall risk management processes, and shares common methodologies, reporting channels and governance processes that apply across the risk management program to other legal, compliance, strategic, operational, and financial risk areas. For example, our Cybersecurity Risk Management Committee evaluates material risks from cybersecurity threats against our overall business objectives and reports to the audit committee of the board of directors, which evaluates our overall enterprise risk. Depending on the environment and system, we implement and maintain various technical, physical, and organizational measures, processes, standards and policies designed to manage and mitigate material risks from cybersecurity threats to our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 additional cybersecurity policies, including an information security program and acceptable use policy;</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of certain environments and systems designed to help identify material risks from cybersecurity threats to our critical systems and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awareness training of our employees, including incident response personnel and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third-party risk management process for key service providers based on our assessment of their criticality to our operations and respective risk profile;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other measures, including incident detection and response tools, encryption of certain data, network security for certain environments and systems, access controls for certain environments and systems, data segregation of certain data; physical security, asset management, third-party systems monitoring and cybersecurity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use third-party service providers to assist us from time to time to identify, assess, and manage material risks from cybersecurity threats, including for example professional services firms, such as legal counsel, cybersecurity consultants, forensic investigators, and cybersecurity software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software application providers, hosting companies, and contract research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including reviewing security questionnaires and imposing contractual obligations related to cybersecurity on the provider. </w:t>
      </w:r>
    </w:p>
    <w:p>
      <w:pPr>
        <w:pStyle w:val="TextBody"/>
        <w:bidi w:val="0"/>
        <w:spacing w:before="120" w:after="283"/>
        <w:jc w:val="left"/>
        <w:rPr>
          <w:rFonts w:ascii="Times New Roman" w:hAnsi="Times New Roman"/>
          <w:sz w:val="20"/>
        </w:rPr>
      </w:pPr>
      <w:r>
        <w:rPr>
          <w:rFonts w:ascii="Times New Roman" w:hAnsi="Times New Roman"/>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including as a result of any prior cybersecurity incidents, that, if realized, are reasonably likely to materially affect us, including our operations, business strategy, results of operations, or financial condition. See our risk factors under Part 1. Item 1A. Risk Factors in this Annual Report, including the section titled “</w:t>
      </w:r>
      <w:r>
        <w:rPr>
          <w:rFonts w:ascii="Times New Roman" w:hAnsi="Times New Roman"/>
          <w:i/>
          <w:color w:val="000000"/>
          <w:sz w:val="20"/>
        </w:rPr>
        <w:t>Risk Factors—General risk factors—If our information technology systems, or those of any of our third-party partners (such as contract research organizations and clinical trial sites), or our data are or were compromised, we could experience adverse consequences resulting from such compromise, including but not limited to regulatory investigations or actions; litigation; fines and penalties; disruptions of our business operations; reputational harm; additional costs; loss of revenue or profits; and other adverse consequences.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i/>
          <w:color w:val="000000"/>
          <w:sz w:val="20"/>
        </w:rPr>
        <w:t>Cybersecurity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considers cybersecurity risk as part of its general oversight function and has delegated to the audit committee oversight of cybersecurity risks, including oversight of management’s implementation of our cybersecurity risk management program, such as oversight of mitigation of risks from cybersecurity threats. The Cybersecurity Risk Management Committee monitors and evaluates our threat environment and risk profile using various methods including, for example: manual and automated tools in certain environments and systems, subscribing to reports and services that identify certain cybersecurity threats, conducting scans of certain threat environments, evaluating certain cybersecurity threats reported to us, conducting internal and external audits of certain environments and systems, and performing third-party threat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receives periodic reports from management concerning our cybersecurity threats and risks and the processes we have implemented to address them, including during audit committee meetings and other periodic updates. These reports are provided by members of our management team responsible for such reporting, including the Cybersecurity Risk Management Committee. In addition, management updates the audit committee, where it deems appropriate, regarding the cybersecurity incidents it considers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reports to the full board regarding its activities, including those related to cybersecurity. The full board also regularly receives briefings from management on our cyber risk management program. Board members receive presentations on cybersecurity topics from internal security staff or external experts as part of the board’s continuing education on topics that impact public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including the Chief Operating Officer, Vice President of Information Technology, Senior Vice President of Legal, and the Head of Cybersecurity,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over 29 years of experience in cybersecurity and information technology matters for our Vice President of Information Technology, including multiple senior information technology leadership roles supervising cybersecurity teams and establishing cybersecurity risk assessment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 in the biotech industry and 28 years of cybersecurity experience for our Head of Cybersecurity, including multiple senior cybersecurity roles.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Chief Operating Officer is responsible for hiring appropriate personnel and third-party vendors, communicating key priorities to relevant personnel, and, in concert with members of the Cybersecurity Risk Management Committee, helping to integrate cybersecurity risk considerations into our overall risk management strategy. Our Chief Operating Officer, Vice President of Information Technology and Senior Vice President of Legal, in consultation with our third-party information technology team, is responsible for maintaining cybersecurity-related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incident response plan is designed to escalate certain cybersecurity incidents to members of management depending on the circumstances, including the Cybersecurity Risk Management Committee. This group works with our incident response team to help us mitigate and remediate cybersecurity incidents of which they are notified. In addition, our incident response plan includes reporting to the audit committee of the board of directors for certain 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information technology environment. </w:t>
      </w:r>
    </w:p>
    <w:p>
      <w:pPr>
        <w:pStyle w:val="TextBody"/>
        <w:bidi w:val="0"/>
        <w:spacing w:before="360" w:after="283"/>
        <w:jc w:val="left"/>
        <w:rPr>
          <w:rFonts w:ascii="Times New Roman" w:hAnsi="Times New Roman"/>
          <w:b/>
          <w:color w:val="000000"/>
          <w:sz w:val="20"/>
        </w:rPr>
      </w:pPr>
      <w:bookmarkStart w:id="8" w:name="item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are located in Brisbane, California. We occupy approximately 40,232 square feet of office space for our corporate headquarters under a lease that expires in March 2029. We believe our existing leased facility is in good condition and suitable for the conduct of our current business.</w:t>
      </w:r>
    </w:p>
    <w:p>
      <w:pPr>
        <w:pStyle w:val="TextBody"/>
        <w:bidi w:val="0"/>
        <w:spacing w:before="360" w:after="283"/>
        <w:jc w:val="left"/>
        <w:rPr>
          <w:rFonts w:ascii="Times New Roman" w:hAnsi="Times New Roman"/>
          <w:b/>
          <w:color w:val="000000"/>
          <w:sz w:val="20"/>
        </w:rPr>
      </w:pPr>
      <w:bookmarkStart w:id="9" w:name="item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relating to claims arising from the ordinary course of business. We are not currently a party to any material legal proceedings.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10" w:name="item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traded on the Nasdaq Global Select Market under the symbol “VERA” since May 14, 2021. Prior to that, there was no public market for our stock. Our Class B common stock is not listed on any stock exchange nor traded on any public market.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23, 2026, there were approximately 16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any cash dividends on our common or capital stock. We intend to retain any future earnings for the long-term growth of the business and do not expect to pay cash dividends in the foreseeable future. In addition, the terms of the Loan Agreement with Oxford restrict our ability to declare and pay dividends without the prior written consent of Oxford.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stock performance graph compares our cumulative total stock return with the cumulative total return for (i) the Nasdaq Composite Index, or IXIC, and (ii) the Nasdaq Biotechnology Index, or NBI, for the period from May 14, 2021 (the date when our shares began trading following our initial public offering) through December 31, 2025. The figures represented below assume an investment of $100 in our common stock at the closing price of $11.50 and in the Nasdaq Composite Index and the Nasdaq Biotechnology Index on May 14, 2021 and the reinvestment of dividends into shares of common stock. The comparisons in the table are required by the SEC and are not intended to forecast or be indicative of the possible future performance of our common stock. </w:t>
      </w:r>
      <w:r>
        <w:rPr>
          <w:rFonts w:ascii="Times New Roman" w:hAnsi="Times New Roman"/>
          <w:i/>
          <w:color w:val="000000"/>
          <w:sz w:val="20"/>
        </w:rPr>
        <w:t>The information under “Stock Performance Graph” is not deemed to be “soliciting material” or “filed” with the SEC or subject to Regulation 14A or 14C, or to the liabilities of Section 18 of the Exchange Act, and is not to be incorporated by reference in any filing of the Company under the Securities Act or the Exchange Act, whether made before or after the date of this Annual Report and irrespective of any general incorporation language in those filings.</w:t>
      </w:r>
    </w:p>
    <w:p>
      <w:pPr>
        <w:pStyle w:val="TextBody"/>
        <w:bidi w:val="0"/>
        <w:spacing w:before="120" w:after="283"/>
        <w:jc w:val="center"/>
        <w:rPr/>
      </w:pPr>
      <w:r>
        <w:rPr/>
        <w:drawing>
          <wp:inline distT="0" distB="0" distL="0" distR="0">
            <wp:extent cx="4505325" cy="3990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505325" cy="39909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3"/>
        <w:gridCol w:w="146"/>
        <w:gridCol w:w="146"/>
        <w:gridCol w:w="678"/>
        <w:gridCol w:w="146"/>
        <w:gridCol w:w="146"/>
        <w:gridCol w:w="160"/>
        <w:gridCol w:w="747"/>
        <w:gridCol w:w="146"/>
        <w:gridCol w:w="146"/>
        <w:gridCol w:w="160"/>
        <w:gridCol w:w="747"/>
        <w:gridCol w:w="146"/>
        <w:gridCol w:w="146"/>
        <w:gridCol w:w="160"/>
        <w:gridCol w:w="747"/>
        <w:gridCol w:w="146"/>
        <w:gridCol w:w="146"/>
        <w:gridCol w:w="160"/>
        <w:gridCol w:w="747"/>
        <w:gridCol w:w="146"/>
        <w:gridCol w:w="146"/>
        <w:gridCol w:w="160"/>
        <w:gridCol w:w="747"/>
        <w:gridCol w:w="197"/>
      </w:tblGrid>
      <w:tr>
        <w:trPr/>
        <w:tc>
          <w:tcPr>
            <w:tcW w:w="3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5/14/2021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Vera Therapeutics, Inc. (VERA)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 Index (IXIC)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Biotechnology Index (NBI)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managements_discussion"/>
      <w:bookmarkEnd w:id="13"/>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left"/>
        <w:rPr/>
      </w:pPr>
      <w:r>
        <w:rPr>
          <w:rFonts w:ascii="Times New Roman" w:hAnsi="Times New Roman"/>
          <w:i/>
          <w:color w:val="000000"/>
          <w:sz w:val="20"/>
        </w:rPr>
        <w:t xml:space="preserve">You should read the following discussion and analysis of our financial condition and results of operations in conjunction with our financial statements and the related notes included elsewhere in this Annual Report on Form 10-K. For a discussion of our financial condition and results of operations for 2024 as compared to 2023, except as set forth below, please refer to Item 7, “Management’s Discussion and Analysis of Financial Condition and Results of Operations” in our </w:t>
      </w:r>
      <w:r>
        <w:fldChar w:fldCharType="begin"/>
      </w:r>
      <w:r>
        <w:rPr>
          <w:rStyle w:val="InternetLink"/>
          <w:sz w:val="20"/>
          <w:i/>
          <w:u w:val="single"/>
          <w:rFonts w:ascii="Times New Roman" w:hAnsi="Times New Roman"/>
          <w:color w:val="0000FF"/>
        </w:rPr>
        <w:instrText xml:space="preserve"> HYPERLINK "https://www.sec.gov/ix?doc=/Archives/edgar/data/0001831828/000095017025029969/vera-20241231.htm" \l "item_7_managements_discussion"</w:instrText>
      </w:r>
      <w:r>
        <w:rPr>
          <w:rStyle w:val="InternetLink"/>
          <w:sz w:val="20"/>
          <w:i/>
          <w:u w:val="single"/>
          <w:rFonts w:ascii="Times New Roman" w:hAnsi="Times New Roman"/>
          <w:color w:val="0000FF"/>
        </w:rPr>
        <w:fldChar w:fldCharType="separate"/>
      </w:r>
      <w:r>
        <w:rPr>
          <w:rStyle w:val="InternetLink"/>
          <w:rFonts w:ascii="Times New Roman" w:hAnsi="Times New Roman"/>
          <w:i/>
          <w:color w:val="0000FF"/>
          <w:sz w:val="20"/>
          <w:u w:val="single"/>
        </w:rPr>
        <w:t>Annual Report on Form 10-K for the year ended December 31, 2024</w:t>
      </w:r>
      <w:r>
        <w:rPr>
          <w:rStyle w:val="InternetLink"/>
          <w:sz w:val="20"/>
          <w:i/>
          <w:u w:val="single"/>
          <w:rFonts w:ascii="Times New Roman" w:hAnsi="Times New Roman"/>
          <w:color w:val="0000FF"/>
        </w:rPr>
        <w:fldChar w:fldCharType="end"/>
      </w:r>
      <w:r>
        <w:rPr>
          <w:rFonts w:ascii="Times New Roman" w:hAnsi="Times New Roman"/>
          <w:i/>
          <w:color w:val="000000"/>
          <w:sz w:val="20"/>
        </w:rPr>
        <w:t>, which discussion is incorporated by reference herein.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 addition to historical financial information, the following discussion contains forward-looking statements that reflect our plans, estimates, beliefs and expectations, and involve risks and uncertainties. Factors that could cause or contribute to these differences include those discussed below and elsewhere in this Annual Report, particularly in the sections titled “Special Note Regarding Forward-Looking Statements” and “Risk Factors.”</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focused on developing and commercializing transformative treatments for patients with serious immunological diseases. Our lead product candidate, atacicept, is currently being evaluated for the treatment of immunoglobulin A nephropathy (IgAN) and other autoimmune kidney diseases. Atacicept is a native human TACI-Fc fusion protein that binds both the B-cell activating factor (BAFF) and A proliferation-inducing ligand (APRIL) cytokines and is self-administered subcutaneously at home. We are conducting ORIGIN 3, the pivotal Phase 3 trial of atacicept 150 mg in IgAN. The trial met the primary efficacy endpoint of reduction in proteinuria as measured by 24-hour urine protein-to-creatinine ratio (UPCR) at week 36, where participants treated with atacicept achieved a 46% reduction from baseline in UPCR with a statistically significant and clinically meaningful 42% reduction in UPCR compared to placebo (p&lt;0.0001). The incidence of adverse events was generally balanced between the atacicept and placebo groups, with fewer serious adverse events reported with atacicept than placebo, no safety signals indicating immunosuppression, and no deaths in either treatment group. In November 2025, we submitted a Biologics License Application (BLA) for atacicept for the treatment of adults with IgAN to the U.S. Food and Drug Administration (FDA) through the Accelerated Approval Program. On January 7, 2026, the FDA granted priority review to the application and assigned a Prescription Drug User Fee Act (PDUFA) target action date of July 7, 2026. If approved, atacicept would be the first B-cell modulator inhibiting both BAFF and APRIL for IgAN, offering patients an autoinjector for at-home self-administration.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 Phase 2b clinical trial evaluated the safety and efficacy of atacicept in 116 participants with IgAN and reported positive results at 24 weeks in January 2023, 36 weeks in June 2023, and 96 weeks in October 2024. The trial remained blinded through 36 weeks, after which all participants were eligible for the open label extension portion of the study and received atacicept 150 mg through 96 weeks. Atacicept met its primary endpoint at 24 weeks with a statistically significant reduction in UPCR. Through 36 weeks, participants treated with atacicept demonstrated reductions in galactose-deficient IgA1 (Gd-IgA1, the autoantigen produced by B cells in patients with IgAN), hematuria, and UPCR, with stable estimated glomerular filtration rate (eGFR). The improvements in Gd-IgA1, hematuria, UPCR and eGFR represent the quartet of findings consistent with IgAN disease modification. The 96-week open label extension results showed consistent and sustained reductions in Gd-IgA1, hematuria, and UPCR, with continued eGFR stabilization at a rate similar to the general population without kidney disease. Atacicept’s safety profile appeared favorable, and comparable to placebo, across the ORIGIN program in IgAN.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atacicept has pipeline-in-a-molecule potential, with potential application in multiple diseases. Based on data from the ORIGIN Phase 2b trial, the FDA granted Breakthrough Therapy Designation to atacicept for the treatment of IgAN. We have also committed to providing long-term access to atacicept for ORIGIN participants through ORIGIN EXTEND, a long-term Phase 2 extension study that offers atacicept to participants who completed ORIGIN Phase 2b or 3 until, if approved, commercial availability in their country or region. We are evaluating atacicept in other autoimmune kidney diseases, including primary membranous nephropathy (pMN), focal segmental glomerulosclerosis (FSGS) and minimal change disease (MCD), in patients with anti-phospholipase A2 receptor (PLA2R) or anti-nephrin autoantibodies in the Phase 2 PIONEER clinical trial. Potential future indications include anti-neutrophil cytoplasmic antibody-associated vasculitis (AAV), lupus nephritis (LN), Sjogren’s disease, systemic lupus erythematosus (SLE), systemic sclerosis, generalized myasthenia gravis, and idiopathic thrombocytopenic purpura.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hold worldwide, exclusive development and commercial rights to MAU868, a potentially first-in-class monoclonal antibody to treat reactivated BK virus (BKV) infections, for which we completed a Phase 2 clinical trial in 2022. In January 2025, we acquired worldwide, exclusive development and commercial rights to VT-109, a novel, next-generation dual BAFF/APRIL inhibitor that is in preclinical development. We believe that our current pipeline programs leverage the deep expertise of our team and have strong potential commercial synergies.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 candidates approved for commercial sale, and we have not generated any revenue from product sales. Our ability to generate revenue sufficient to achieve profitability, if ever, will depend on the successful development and eventual commercialization of one or more of our product candidates, which we expect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proceeds from the sale of shares of our common stock, redeemable convertible preferred stock, debt financing and convertible promissory notes. As of December 31, 2025, we had $714.6 million in cash, cash equivalents and marketable securities, compared to $640.9 million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the commencement of our operations. Our net losses were $299.6 million, $152.1 million, and $96.0 million for the years ended December 31, 2025, 2024, and 2023 respectively, and we expect to incur significant and increasing losses for the foreseeable future as we continue to advance our product candidates toward commercialization. Our net losses may fluctuate significantly from period to period, depending on the timing of expenditures on our research and development activities. As of December 31, 2025, we had an accumulated deficit of $760.9 million, compared to $461.3 million as of December 31, 2024. Our primary use of cash is to fund operating expenses, which consist of research and development and general and administrative expenditures. Cash used to fund operating expenses depends on the timing of when we pay these expenses, as reflected in the changes in our working capital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or continue nonclinical studies and clinical trials for our product candidates; 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scale up external manufacturing capacity with the aim of securing sufficient quantities to meet our capacity requirements for clinical trials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approved product candidates and related additional commercial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develop or in-license other product candidates and technologies and further expand our clinical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develop and retain additional clinical, scientific, quality control, commercial, and manufacturing management and administrative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clinical, operational, financial and management information systems and personnel, including personnel to support our product development and planned future commercialization efforts.</w:t>
      </w:r>
    </w:p>
    <w:p>
      <w:pPr>
        <w:pStyle w:val="TextBody"/>
        <w:bidi w:val="0"/>
        <w:jc w:val="left"/>
        <w:rPr>
          <w:rFonts w:ascii="Times New Roman" w:hAnsi="Times New Roman"/>
          <w:color w:val="000000"/>
          <w:sz w:val="20"/>
        </w:rPr>
      </w:pPr>
      <w:r>
        <w:rPr>
          <w:rFonts w:ascii="Times New Roman" w:hAnsi="Times New Roman"/>
          <w:color w:val="000000"/>
          <w:sz w:val="20"/>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jc w:val="left"/>
        <w:rPr>
          <w:rFonts w:ascii="Times New Roman" w:hAnsi="Times New Roman"/>
          <w:b/>
          <w:i/>
          <w:color w:val="000000"/>
          <w:sz w:val="20"/>
        </w:rPr>
      </w:pPr>
      <w:r>
        <w:rPr>
          <w:rFonts w:ascii="Times New Roman" w:hAnsi="Times New Roman"/>
          <w:b/>
          <w:i/>
          <w:color w:val="000000"/>
          <w:sz w:val="20"/>
        </w:rPr>
        <w:t>Geopolitical and Macroeconomic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geopolitical and macroeconomic events, including bank failures, tariffs and trade tensions, supply chain challenges, ongoing military conflicts, related sanctions, changes in U.S.-China relations, elevated inflation rates and the responses by central banking authorities to control such inflation, the U.S. and global financial markets experienced volatility, which has led to disruptions to trade, commerce, pricing stability, credit availability and supply chain continuity globally. As a result of these factors and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and macroeconomic developments described in this Annual Report, our business and results of operations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did not see a significant financial impact to our business operations as a result of recent geopolitical and macroeconomic developments during the year ended December 31, 2025, there may be potential impacts to our business in the future that are highly uncertain and difficult to predict such as disruptions or restrictions in our supply chain, disruption or restrictions on our employees’ ability to travel, disruptions to or delays in ongoing non-clinical trials, clinical trials, third-party manufacturing supply and other operations, interruptions or delays in the operations of the FDA or other regulatory authorities, and continued elevated inflation and interest rates which may increase the cost of conducting business activities or cause changes in availability and cost of credit and impact our ability to raise capital and conduct business development activities. The ultimate impact of these geopolitical and macroeconomic developments, as well as any lasting effects on our business, is highly uncertain and subject to continued change, and we recognize that macroeconomic and geopolitical factors may continue to present unique challenges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held as of December 31, 2025, will be sufficient to fund our planned operations and capital expenditure requirements for at least the next 12 months from the date of this Annual Report. However, should adverse geopolitical or macroeconomic events, such as those discussed above, any recession or depression associated with those events or other events described herein, continue for a prolonged period, our results of operations, financial condition, liquidity and cash flows could be materially impacted as a result of a lower likelihood of effectively and efficiently developing and successfully commercializing our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2025 and 2024.</w:t>
      </w:r>
    </w:p>
    <w:p>
      <w:pPr>
        <w:pStyle w:val="TextBody"/>
        <w:bidi w:val="0"/>
        <w:jc w:val="left"/>
        <w:rPr/>
      </w:pPr>
      <w:r>
        <w:rPr/>
        <w:t> </w:t>
      </w:r>
    </w:p>
    <w:tbl>
      <w:tblPr>
        <w:tblW w:w="9297" w:type="dxa"/>
        <w:jc w:val="left"/>
        <w:tblInd w:w="0" w:type="dxa"/>
        <w:tblLayout w:type="fixed"/>
        <w:tblCellMar>
          <w:top w:w="28" w:type="dxa"/>
          <w:left w:w="28" w:type="dxa"/>
          <w:bottom w:w="28" w:type="dxa"/>
          <w:right w:w="28" w:type="dxa"/>
        </w:tblCellMar>
      </w:tblPr>
      <w:tblGrid>
        <w:gridCol w:w="3256"/>
        <w:gridCol w:w="546"/>
        <w:gridCol w:w="211"/>
        <w:gridCol w:w="841"/>
        <w:gridCol w:w="166"/>
        <w:gridCol w:w="146"/>
        <w:gridCol w:w="211"/>
        <w:gridCol w:w="841"/>
        <w:gridCol w:w="166"/>
        <w:gridCol w:w="146"/>
        <w:gridCol w:w="211"/>
        <w:gridCol w:w="841"/>
        <w:gridCol w:w="166"/>
        <w:gridCol w:w="146"/>
        <w:gridCol w:w="146"/>
        <w:gridCol w:w="481"/>
        <w:gridCol w:w="776"/>
      </w:tblGrid>
      <w:tr>
        <w:trPr/>
        <w:tc>
          <w:tcPr>
            <w:tcW w:w="32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a substantial portion of our operating expenses. Our research and development expenses consist primarily of direct and indirect expenses incurred in connection with the research and development of our product candidates. Direct expenses include costs incurred under agreements with third parties, including contract research organizations, contract drug manufacturing organizations and consultants directly related to our research and development of product candidates, and license and milestone fees incurred as a result of our contractual obligations for our development candidates. Indirect expenses include employee compensation and other personnel-related expenses, including stock-based compensation, facilities and depreciation related to buildings and equipment used by research and development personnel and activities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are recorded as expense in the period in which the related activities occurred, and payments we make prior to the receipt of goods or services to be used in research and development efforts are deferred as prepaid expenses until the goods or services are received and used. We accrue expenses for contract research and development as the related services are performed by monitoring the status of specified activities and billings received from our external service providers. These expenses are accrued based on estimates and are adjusted as actual expenses become known. The cost incurred in obtaining technology licenses, including initial and subsequent milestone payments incurred under our licensing agreements, are recorded as expense in the period in which they are incurred, as the licensed technology, method or process has no alternative future uses other than for our research and development activities. Where contingent milestone payments are due to third parties under license or other agreements, the milestone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obligations are recognized as expense when achievement of the contingent milestone is probable, which is generally upon achievement of the milestone.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incurred during the respective periods. </w:t>
      </w:r>
    </w:p>
    <w:tbl>
      <w:tblPr>
        <w:tblW w:w="9142" w:type="dxa"/>
        <w:jc w:val="left"/>
        <w:tblInd w:w="0" w:type="dxa"/>
        <w:tblLayout w:type="fixed"/>
        <w:tblCellMar>
          <w:top w:w="28" w:type="dxa"/>
          <w:left w:w="28" w:type="dxa"/>
          <w:bottom w:w="28" w:type="dxa"/>
          <w:right w:w="28" w:type="dxa"/>
        </w:tblCellMar>
      </w:tblPr>
      <w:tblGrid>
        <w:gridCol w:w="3966"/>
        <w:gridCol w:w="346"/>
        <w:gridCol w:w="211"/>
        <w:gridCol w:w="781"/>
        <w:gridCol w:w="146"/>
        <w:gridCol w:w="146"/>
        <w:gridCol w:w="211"/>
        <w:gridCol w:w="781"/>
        <w:gridCol w:w="146"/>
        <w:gridCol w:w="146"/>
        <w:gridCol w:w="211"/>
        <w:gridCol w:w="676"/>
        <w:gridCol w:w="146"/>
        <w:gridCol w:w="146"/>
        <w:gridCol w:w="146"/>
        <w:gridCol w:w="421"/>
        <w:gridCol w:w="516"/>
      </w:tblGrid>
      <w:tr>
        <w:trPr/>
        <w:tc>
          <w:tcPr>
            <w:tcW w:w="39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drug manufacturing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related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$89.1 million, or 71%, to $215.3 million in the year ended December 31, 2025, from $126.2 million in the year ended December 31, 2024, due to an increase of $23.4 million in contract drug manufacturing costs for clinical and potential commercial use, an increase of $14.5 million in clinical trial expenses due to greater numbers of active sites and completion of enrollment in ORIGIN 3 and expenses incurred for the PIONEER, monthly dose range finding and ORIGIN EXTEND trials, an increase of $15.4 million in consulting and professional services, including a $9.4 million increase in medical affairs and commercial planning expenses as we prepare for potential regulatory approval and commercialization of atacicept, an increase of $33.0 million for employee compensation and related benefit expenses, including a $8.7 million increase in stock-based compensation expense, due to growth in research and development headcount, and an increase of $2.9 million in facilities and other, including a $1.9 million increase in travel expenses to support research and development activities, including travel associated with medical conferences.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in future periods as we seek regulatory approval of atacicept in IgAN in the U.S. and other markets, conduct additional clinical trials of atacicept, and if we expand development of atacicept in other indications or product configurations, or other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compensation and personnel-related expenses, including stock-based compensation, for our personnel in executive management, legal, finance, human resources, and other administrative functions. General and administrative expenses also include professional fees paid for accounting, auditing, legal, tax and consulting services, and other general overhead costs to support our operations. General and administrative expenses are recorded as expense in the period in which they are incurred, and payments we make prior to the receipt of goods or services to be used for general and administrative purposes are deferred as prepaid expenses until the goods or services are received and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general and administrative expenses incurred during the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4"/>
        <w:gridCol w:w="346"/>
        <w:gridCol w:w="211"/>
        <w:gridCol w:w="781"/>
        <w:gridCol w:w="146"/>
        <w:gridCol w:w="146"/>
        <w:gridCol w:w="211"/>
        <w:gridCol w:w="676"/>
        <w:gridCol w:w="146"/>
        <w:gridCol w:w="146"/>
        <w:gridCol w:w="211"/>
        <w:gridCol w:w="676"/>
        <w:gridCol w:w="146"/>
        <w:gridCol w:w="146"/>
        <w:gridCol w:w="146"/>
        <w:gridCol w:w="421"/>
        <w:gridCol w:w="416"/>
      </w:tblGrid>
      <w:tr>
        <w:trPr/>
        <w:tc>
          <w:tcPr>
            <w:tcW w:w="52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related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and facilities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and accounting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Consultants, including non-employee director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planning and medical affairs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increased by $59.2 million, or 144%, to $100.2 million in the year ended December 31, 2025, from $41.0 million in the year ended December 31, 2024, due to an increase of $30.3 million in employee compensation and related benefits expenses, including stock-based compensation, as a result of increased general and administrative employee headcount, an increase of $16.1 million in commercial and medical affairs expenses related to market research, market access and health economics activities related to commercialization planning of atacicept, an increase of $3.3 million in legal, accounting, and audit fees, an increase of $1.9 million in consulting expenses, including non-employee director stock-based compensation, an increase of $2.5 million in software expenses, an increase of $1.8 million in corporate communications expenses, and an increase of $1.7 million in business travel expenses.</w:t>
      </w:r>
    </w:p>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jc w:val="left"/>
        <w:rPr/>
      </w:pPr>
      <w:r>
        <w:rPr/>
        <w:t> </w:t>
      </w:r>
    </w:p>
    <w:tbl>
      <w:tblPr>
        <w:tblW w:w="7701" w:type="dxa"/>
        <w:jc w:val="left"/>
        <w:tblInd w:w="0" w:type="dxa"/>
        <w:tblLayout w:type="fixed"/>
        <w:tblCellMar>
          <w:top w:w="28" w:type="dxa"/>
          <w:left w:w="28" w:type="dxa"/>
          <w:bottom w:w="28" w:type="dxa"/>
          <w:right w:w="28" w:type="dxa"/>
        </w:tblCellMar>
      </w:tblPr>
      <w:tblGrid>
        <w:gridCol w:w="2586"/>
        <w:gridCol w:w="346"/>
        <w:gridCol w:w="211"/>
        <w:gridCol w:w="676"/>
        <w:gridCol w:w="166"/>
        <w:gridCol w:w="146"/>
        <w:gridCol w:w="211"/>
        <w:gridCol w:w="676"/>
        <w:gridCol w:w="166"/>
        <w:gridCol w:w="146"/>
        <w:gridCol w:w="214"/>
        <w:gridCol w:w="642"/>
        <w:gridCol w:w="166"/>
        <w:gridCol w:w="146"/>
        <w:gridCol w:w="146"/>
        <w:gridCol w:w="481"/>
        <w:gridCol w:w="576"/>
      </w:tblGrid>
      <w:tr>
        <w:trPr/>
        <w:tc>
          <w:tcPr>
            <w:tcW w:w="2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increased by $0.8 million, or 6%, to $15.9 million in the year ended December 31, 2025, from $15.0 million in the year ended December 31, 2024, primarily due to an increase of $3.8 million in interest income from an increase in the average balance of marketable securities held during the year ended December 31, 2025 as compared to the year ended December 31, 2024, partially offset by an increase in other expense from $0.8 million in third-party legal and consulting fees and $1.0 million in amortization of deferred debt issuance costs for unfunded loan commitments, both relating to the refinancing of the Oxford credit facility in June 2025, an increase of $0.5 million in foreign exchange loss and a $0.5 million decrease in sublease income due to the expiration of a sublease concurrent with the expiration of the master lease in September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proceeds from the sale of shares of our common stock, redeemable convertible preferred stock, debt financing and convertible notes. From our inception through December 31, 2025, we have raised aggregate net cash proceeds of approximately $1.3 billion from the issuance and sale of redeemable convertible preferred stock, convertible notes and common stock, and proceeds from our current and former loan agreements. Since the date of our incorporation, we have not generated any revenue from product sales and have incurred substantial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completed a follow-on public offering and issued 9,274,194 shares of common stock for net proceeds of approximately $269.6 million, after deducting underwriting fees and offering-related expenses. In October 2024, we completed a follow-on public offering and issued 7,142,858 shares of common stock, and in November 2024 we issued an additional 1,071,428 shares of common stock pursuant to the underwriters’ full exercise of the 30-day option to purchase additional shares. We received aggregate net proceeds of approximately $323.6 million, after deducting underwriting fees and offering-related expenses. In December 2025, we completed a follow-on public offering and issued 7,058,824 shares of common stock for net proceeds of approximately $281.3 million, after deducting underwriting fees and offering-related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an agreement to refinance our existing debt by replacing the existing $50.0 million in notes payable with $75.0 million in new notes payable. We received aggregate net proceeds of approximately $23.3 million, after deducting 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we entered into a Sales Agreement (Sales Agreement) with TD Securities (USA) LLC (TD Cowen). Under the Sales Agreement, we may offer and sell, from time to time, through TD Cowen as our sales agent and/or principal, shares of our common stock, having an aggregate offering amount of up to $200 million (Shares). We are not obligated to sell any Shares under this agreement. We will pay TD Cowen a commission of up to 3.0% of the gross sales proceeds of any Shares sold through TD Cowen under the Sales Agreement. As of December 31, 2025, no sales had been made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cash to fund operations, primarily to fund our research and development efforts, clinical trials, establishing and maintaining our intellectual property portfolio, hiring personnel, raising capital, and providing general and administrative support for these operations. Cash used to fund operating expenses is affected by the timing of when we pay these expenses, as reflected in the change in our outstanding accounts payable, accrued expenses and prepaid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continue to incur net losses for the foreseeable future as we continue research and development activities of our product candidates, hire additional staff, including clinical, commercial, operational, administrative and management personnel, and incur additional expenses associated with operating as a public company. We expect to incur significant expenses and operating losses for the foreseeable future as we advance our clinical development activities and our product candidate portfolio and prepare for anticipated commercialization of atacicept. We expect that our research and development and general and administrative costs will increase substantially in connection with conducting additional clinical trials for our research programs and product candidates, contracting with third parties to support nonclinical studies and clinical trials, expanding our intellectual property portfolio, scaling up external commercial manufacturing capacity, building a sales, marketing and distribution infrastructure to commercialize any approved product candidates,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cash, cash equivalents and marketable securities of $714.6 million, as compared to $640.9 million as of December 31, 2024. We believe, based on our current operating plan, that our cash, cash equivalents and marketable securities as of December 31, 2025 will be sufficient to fund our planned operations and capital expenditure requirements for at least the next 12 months from the date of this Annual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we used $241.1 million of cash in operating activities, attributable to a net loss of $299.6 million, partially offset by non-cash charges of $34.7 million, a decrease in our net operating assets and liabilities of $23.0 million, and license fee payments of $0.8 million. Non-cash charges primarily consisted of $37.9 million of stock-based compensation, non-cash interest income of $7.0 million related to amortization of discount on purchases of marketable securities, and a $1.4 million reduction in the carrying amount of operating lease right-of-use assets, partially offset by $1.9 million net in accretion and amortization of loan exit fees and costs. The change in our net operating assets and liabilities was primarily due to an increase of $13.9 million in accounts payable, an increase of $14.4 million in accrued and other current liabilities, a decrease of $3.9 million in prepaid expenses and other assets, and a decrease of $1.5 million in operating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we used $134.7 million of cash in operating activities, attributable to a net loss of $152.1 million, partially offset by non-cash charges of $14.8 million and a decrease in our net operating assets and liabilities of $2.7 million. Non-cash charges primarily consisted of $20.8 million of stock-based compensation, non-cash interest income of $9.0 million related to amortization of discount on purchases of marketable securities, and a $2.1 million reduction in the carrying amount of operating lease right-of-use assets. The change in our net operating assets and liabilities was primarily due to an increase of $7.2 million in accrued and other current liabilities, a decrease of $3.5 million in accounts payable, and a decrease of $2.4 million in operating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cash used in operating activities from the year ended December 31, 2024 to the year ended December 31, 2025 was primarily attributable to increased research and development, and general and administrative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our investing activities provided $194.3 million of cash, primarily resulting from the maturity of short-term marketable securities, less purchases of short-term marketable securities during the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our investing activities used $425.0 million of cash, primarily resulting from the purchase of short-term marketable securities, less sales and maturities of short-term marketable securities during the year.</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our financing activities provided $308.9 million of cash resulting from $300.0 million gross proceeds received from our December 2025 follow-on offering, $23.3 million in net proceeds from borrowings from the initial funding under the 2025 Loan Agreement in June 2025, after repayment of borrowings under the 2021 Loan Agreement, and $7.0 million proceeds from exercise of stock options and issuance of shares under our employee stock purchase plan, less $18.4 million offering costs related to our follow-on offerings including underwriting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our financing activities provided $606.7 million of cash resulting from $632.5 million gross proceeds received from our February and October 2024 follow-on offerings and $13.4 million proceeds from exercise of stock options and issuance of shares under our employee stock purchase plan, less $39.3 million offering costs related to our follow-on offerings including underwriting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cash requirements in the short- and long-term consist of the following operational expenditures, a portion of which contain contractual or other obligations.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and operating expenses relate to contract drug manufacturing, clinical trial expenses, commercial launch planning, and paying employees and consultants to support our operations. Our research and development expenses in 2025 were $215.3 million and we expect to increase our investment in research and development expenses in 2026. Our general and administrative expenses were $100.2 million in 2025 and we expect to increase our general and administrative expenses to support our anticipated commercial launch of atacicept in 2026. On a long-term basis, we manage future cash requirements relative to our long-term business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enter into agreements in the normal course of business with various third parties for preclinical, clinical and other services. These contracts are generally cancellable without material penalty upon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costs also relate to our building leases for our office. Our operating lease obligations reflect those for our corporate headquarters office space in Brisbane, California. In August 2024, we entered into a non-cancellable operating lease for 40,232 square feet of office space in Brisbane, California, that has served as our corporate headquarters since November 2024. The term of this lease is 54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minimum lease payments as of December 31, 2025 were $3.0 million. Refer to Note 5 in the Notes to Financial Statements in Item 8 for further detail of our lease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2021, we entered into the 2021 Loan Agreement. The 2021 Loan Agreement provided for term loans (collectively, the Loan) in an aggregate maximum principal amount of $50.0 million, of which $5.0 million was funded on December 17, 2021, $20.0 million was funded on November 4, 2022, and the remaining $25.0 million was funded in December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we opted to extend the final maturity date of the Loan from December 2026 to December 2027, based on positive Phase 2b clinical trial data of atacicept in IgAN, as provided in the 2021 Loan Agreement. We were required to make monthly interest-only payments for 60 months followed by full amortization through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refinanced its debt under the 2021 Loan Agreement by entering into a new non-revolving loan and security agreement, the proceeds of which were partially used to prepay the outstanding principal balance of the 2021 Loan Agreement in full. As a result, the Company no longer has any contractual obligations and commitments under the 2021 Loan Agreement, which were previously described under “Management’s Discussion and Analysis of Financial Condition and Results of Operations” in the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we entered into the 2025 Loan Agreement. The 2025 Loan Agreement provides for term loans (collectively, 2025 Loan) in an aggregate maximum principal amount of $500.0 million, of which $75.0 million was funded on June 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Agreement is scheduled to mature in June 2030, but the maturity date can be extended based on achievement of a revenue-based interest-only extension milestone as of the end of the initial interest-only period in August 2029. If the Company achieves this interest-only extension milestone, the maturity date and the end of the interest-only period will be extended to June 2031 and August 2030, respectively. We are required to make monthly interest-only payments for 49 months (or 61 months upon achievement of the revenue-based interest-only extension milestone mentioned above) followed by full amortization through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incurs interest at a floating per annum rate (based on the actual number of days elapsed divided by a year of 360 days) equal to the sum of (a) the greater of (i) the 1-Month CME Term Secured Overnight Financing Rate (SOFR) and (ii) 3.75%, plus (b) 4.95%.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permitted to prepay the 2025 Loan in full or in part at any time upon 10 business days’ written notice to Oxford, subject to payment of the applicable Prepayment Fee (as defined below). Upon the earlier of the maturity date, acceleration of the 2025 Loan or prepayment of the 2025 Loan, we are required to make a final payment equal to 5.0% of the aggregate principal amount of the 2025 Loan (Final Fee). Any prepayments of the 2025 Loan must be accompanied by (a) accrued and unpaid interest thereon, (b) the Final Fee and (c) prepayment fee of (i) 2.0% of the portion of the 2025 Loan being prepaid if the repayment is on or before June 4, 2027 or (ii) 1.0% of the portion of the 2025 Loan being prepaid if the repayment is after June 4, 2027 through June 4, 2028. There is no Prepayment Fee for any prepayments occurring after June 4,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2025 Loan Agreement are secured by a security interest in substantially all of our assets, other than our intellectual property, which is subject to a negative pledge. The 2025 Loan Agreement contains two financial related covenants. Also included in the 2025 Loan Agreement are customary representations and covenants that, subject to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and engage in businesses that are not related to our existing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an event of default, a default interest rate of an additional 4.0% may be applied to the outstanding loan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balances, and Oxford may declare all outstanding obligations immediately due and payable and take such other actions as set forth in the 2025 Loan Agreement. Events of default under the 2025 Loan Agreement include customary events of default, including, but not limited to: (i) non-payment; (ii) failure to perform any obligation under the 2025 Loan Agreement and related documents; (iii) the occurrence of a material adverse change; (iv) bankruptcy and other insolvency events; (v) cross-defaults; and (vi) judgment defaults.</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following critical accounting policies and estimates are most important to understanding and evaluating our reported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contract costs, and related prepaid and accrued balances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enter into various research and development and other agreements with commercial firms, researchers and others for provision of goods and services from time to time. These agreements are generally cancellable, and the related costs are recorded as incurred.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estimate clinical trial expenses based on the services performed pursuant to contracts with clinical research organizations that conduct and manage clinical trials on our behalf. We also estimate manufacturing costs based on services performed pursuant to contracts with contract manufacturing organizations that develop and manufacture product on our behalf. In accruing service fees, we estimate the period over which services will be performed. These estimates are based on our communications with the third-party service providers and on information available at each balance sheet date. If the actual timing of the performance of services or the level of effort varies significantly from the estimate, we adjust the accrual accordingly to reflect the best information available at the time. When evaluating the adequacy of the accrued liabilities, we analyze progress of the studies or clinical trials, including the phase or completion of events, invoices received and contracted costs. Judgments and estimates are made in determining the prepaid and accrued balances at the end of the reporting period. Actual results may differ from our estimates. To date, there have been no material differences between our estimates of such expenses and the amounts actually incurred.</w:t>
      </w:r>
    </w:p>
    <w:p>
      <w:pPr>
        <w:pStyle w:val="TextBody"/>
        <w:bidi w:val="0"/>
        <w:spacing w:before="200" w:after="283"/>
        <w:jc w:val="left"/>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 As of December 31, 2024 and December 31, 2025, we had cash, cash equivalents, and marketable securities of $640.9 million and $714.6 million, respectively, consisting primarily of money market funds, U.S. government bonds, and corporate debt securities.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primary exposure to market risk is interest rate sensitivity in our fixed income portfolio, which is affected by changes in the general level of U.S. interest rates. Due to the short-term duration of our investment portfolio and the low risk profile of our investment portfolio, an immediate 100 basis point change in interest rates as of December 31, 2024 and December 31, 2025 would not have a material effect on the fair market value of our cash, cash equivalents, and marketable securities.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also exposed to interest rate risk in connection to our borrowings under our 2025 Loan Agreement with Oxford. As of December 31, 2025, we had $75.0 million of outstanding borrowings under the 2025 Loan Agreement. Pursuant to the 2025 Loan Agreement, outstanding indebtedness under the term loan bears interest at a per annum rate equal to the sum of (a) the greater of (i) the 1-Month CME Term SOFR (Term SOFR) and (ii) 3.75%, plus (b) 4.95%. We currently do not engage in any interest rate hedging activity, and we have no intention to do so in the foreseeable future. Based on the current interest rate of the term loan and the scheduled payments thereunder, we do not believe a 1.0% increase in the Term SOFR would have a material impact on our financial condition or results of operations. For more information regarding the 2025 Loan Agreement, see Note 6, Notes Payable, to our audited financial statements.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Financial Institution Risk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Substantially all of our cash is held with a single financial institution. Due to its size, this financial institution represents a minimal credit risk. Cash amounts held at financial institutions are insured by the Federal Deposit Insurance Corporation up to $250,000 per depositor, per financial institution.</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are also exposed to market risk related to changes in foreign currency exchange rates, including recent changes resulting from monetary policies set by the U.S. and international central banks, inflationary pressures, and geopolitical developments, or instability or volatility in the global markets. From time to time, we contract with vendors that are located in Asia and Europe and whose balances due are denominated in foreign currencies. We are subject to fluctuations in foreign exchange rates in connection with these agreements. The volatility of exchange rates depends on many factors that we cannot forecast with reliable accuracy. We do not currently hedge our foreign currency exchange rate risk. As of December 31, 2025 and 2024, we held limited funds and future obligations denominated in foreign currencies. As such, a 10.0% increase or decrease in current exchange rates would not have a material effect on our financial results.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Inflation generally affects us by increasing our cost of labor, pricing of contracts for clinical trial and manufacturing costs, and indirectly, interest rates. We do not believe that inflation has had a material effect on our business, financial condition, or results of operations during the periods presented.</w:t>
      </w:r>
    </w:p>
    <w:p>
      <w:pPr>
        <w:pStyle w:val="TextBody"/>
        <w:bidi w:val="0"/>
        <w:jc w:val="left"/>
        <w:rPr/>
      </w:pPr>
      <w:r>
        <w:rPr/>
        <w:t> </w:t>
      </w:r>
    </w:p>
    <w:p>
      <w:pPr>
        <w:pStyle w:val="TextBody"/>
        <w:bidi w:val="0"/>
        <w:jc w:val="left"/>
        <w:rPr>
          <w:rFonts w:ascii="Times New Roman" w:hAnsi="Times New Roman"/>
          <w:b/>
          <w:color w:val="000000"/>
          <w:sz w:val="20"/>
        </w:rPr>
      </w:pPr>
      <w:bookmarkStart w:id="15" w:name="item_8_financial_statements"/>
      <w:bookmarkEnd w:id="15"/>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7547" w:type="dxa"/>
        <w:jc w:val="left"/>
        <w:tblInd w:w="0" w:type="dxa"/>
        <w:tblLayout w:type="fixed"/>
        <w:tblCellMar>
          <w:top w:w="28" w:type="dxa"/>
          <w:left w:w="28" w:type="dxa"/>
          <w:bottom w:w="28" w:type="dxa"/>
          <w:right w:w="28" w:type="dxa"/>
        </w:tblCellMar>
      </w:tblPr>
      <w:tblGrid>
        <w:gridCol w:w="6571"/>
        <w:gridCol w:w="976"/>
      </w:tblGrid>
      <w:tr>
        <w:trPr/>
        <w:tc>
          <w:tcPr>
            <w:tcW w:w="657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pBdr>
                <w:bottom w:val="single" w:sz="6" w:space="1" w:color="000000"/>
              </w:pBdr>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Number</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public_accounting_firm">
              <w:r>
                <w:rPr>
                  <w:rStyle w:val="InternetLink"/>
                  <w:rFonts w:ascii="Times New Roman" w:hAnsi="Times New Roman"/>
                  <w:color w:val="0000FF"/>
                  <w:sz w:val="20"/>
                  <w:u w:val="single"/>
                </w:rPr>
                <w:t>Report of Independent Registered Public Accounting Firm (PCAOB ID: 185)</w:t>
              </w:r>
            </w:hyperlink>
          </w:p>
        </w:tc>
        <w:tc>
          <w:tcPr>
            <w:tcW w:w="97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106</w:t>
            </w:r>
          </w:p>
        </w:tc>
      </w:tr>
      <w:tr>
        <w:trPr/>
        <w:tc>
          <w:tcPr>
            <w:tcW w:w="6571" w:type="dxa"/>
            <w:tcBorders/>
            <w:tcMar>
              <w:top w:w="0" w:type="dxa"/>
              <w:left w:w="0" w:type="dxa"/>
              <w:bottom w:w="0" w:type="dxa"/>
              <w:right w:w="0" w:type="dxa"/>
            </w:tcMar>
            <w:vAlign w:val="center"/>
          </w:tcPr>
          <w:p>
            <w:pPr>
              <w:pStyle w:val="TableContents"/>
              <w:bidi w:val="0"/>
              <w:ind w:left="0" w:right="0" w:firstLine="240"/>
              <w:jc w:val="left"/>
              <w:rPr/>
            </w:pPr>
            <w:r>
              <w:rPr/>
              <w:t> </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Financial Statements:</w:t>
            </w:r>
          </w:p>
        </w:tc>
        <w:tc>
          <w:tcPr>
            <w:tcW w:w="976"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alance_sheets">
              <w:r>
                <w:rPr>
                  <w:rStyle w:val="InternetLink"/>
                  <w:rFonts w:ascii="Times New Roman" w:hAnsi="Times New Roman"/>
                  <w:color w:val="0000FF"/>
                  <w:sz w:val="20"/>
                  <w:u w:val="single"/>
                </w:rPr>
                <w:t>Balance Sheets</w:t>
              </w:r>
            </w:hyperlink>
          </w:p>
        </w:tc>
        <w:tc>
          <w:tcPr>
            <w:tcW w:w="97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108</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tatements_of_operations">
              <w:r>
                <w:rPr>
                  <w:rStyle w:val="InternetLink"/>
                  <w:rFonts w:ascii="Times New Roman" w:hAnsi="Times New Roman"/>
                  <w:color w:val="0000FF"/>
                  <w:sz w:val="20"/>
                  <w:u w:val="single"/>
                </w:rPr>
                <w:t>Statements of Operations and Comprehensive Loss</w:t>
              </w:r>
            </w:hyperlink>
          </w:p>
        </w:tc>
        <w:tc>
          <w:tcPr>
            <w:tcW w:w="97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109</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tatements_of_stockholders_equity">
              <w:r>
                <w:rPr>
                  <w:rStyle w:val="InternetLink"/>
                  <w:rFonts w:ascii="Times New Roman" w:hAnsi="Times New Roman"/>
                  <w:color w:val="0000FF"/>
                  <w:sz w:val="20"/>
                  <w:u w:val="single"/>
                </w:rPr>
                <w:t>Statements of Stockholders’ Equity</w:t>
              </w:r>
            </w:hyperlink>
          </w:p>
        </w:tc>
        <w:tc>
          <w:tcPr>
            <w:tcW w:w="97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110</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tatements_of_cash_flows">
              <w:r>
                <w:rPr>
                  <w:rStyle w:val="InternetLink"/>
                  <w:rFonts w:ascii="Times New Roman" w:hAnsi="Times New Roman"/>
                  <w:color w:val="0000FF"/>
                  <w:sz w:val="20"/>
                  <w:u w:val="single"/>
                </w:rPr>
                <w:t>Statements of Cash Flows</w:t>
              </w:r>
            </w:hyperlink>
          </w:p>
        </w:tc>
        <w:tc>
          <w:tcPr>
            <w:tcW w:w="97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111</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financial_statements">
              <w:r>
                <w:rPr>
                  <w:rStyle w:val="InternetLink"/>
                  <w:rFonts w:ascii="Times New Roman" w:hAnsi="Times New Roman"/>
                  <w:color w:val="0000FF"/>
                  <w:sz w:val="20"/>
                  <w:u w:val="single"/>
                </w:rPr>
                <w:t>Notes to Financial Statements</w:t>
              </w:r>
            </w:hyperlink>
          </w:p>
        </w:tc>
        <w:tc>
          <w:tcPr>
            <w:tcW w:w="97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112</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public_accounting_firm"/>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w:t>
        <w:br/>
        <w:t>Vera Therapeutics, Inc.:</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Opinions on the Financial Statements and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accompanying balance sheets of Vera Therapeutics, Inc. (the Company) as of December 31, 2025 and 2024, the related statements of operations and comprehensive loss, stockholders’ equity, and cash flows for each of the years in the three-year period ended December 31, 2025, and the related notes (collectively, the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for the debt refinancing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6 to the consolidated financial statements, on June 2, 2025, the Company entered into a new non-revolving loan and security agreement with a loan syndicate (debt refinancing agreement). The new agreement has a total borrowing capacity of up to $500.0 million, the proceeds of which were partially used to prepay the outstanding principal balance on the 2021 Loan Agreement (the debt refinancing). The Company evaluated the accounting treatment for the loan syndicate on a creditor-by-creditor basis. With respect to the continuing creditors, the Company accounted for this transaction as a loan modification, and with respect to the new lender, the Company accounted for this transaction as an issuance of debt.</w:t>
      </w:r>
    </w:p>
    <w:p>
      <w:pPr>
        <w:pStyle w:val="TextBody"/>
        <w:bidi w:val="0"/>
        <w:jc w:val="left"/>
        <w:rPr>
          <w:rFonts w:ascii="Times New Roman" w:hAnsi="Times New Roman"/>
          <w:color w:val="000000"/>
          <w:sz w:val="20"/>
        </w:rPr>
      </w:pPr>
      <w:r>
        <w:rPr>
          <w:rFonts w:ascii="Times New Roman" w:hAnsi="Times New Roman"/>
          <w:color w:val="000000"/>
          <w:sz w:val="20"/>
        </w:rPr>
        <w:br/>
        <w:t>We identified the evaluation of the accounting for the debt refinancing as a critical audit matter. Complex auditor judgment was required to evaluate the terms and provisions of the debt refinancing agreement in order to assess the appropriateness of the Company’s application of the accounting guidance. Additionally, the audit effort associated with the evaluation of the Company’s accounting for the debt refinancing required the involvement of professionals with specialized skills and knowledge.</w:t>
      </w:r>
    </w:p>
    <w:p>
      <w:pPr>
        <w:pStyle w:val="TextBody"/>
        <w:bidi w:val="0"/>
        <w:jc w:val="left"/>
        <w:rPr>
          <w:rFonts w:ascii="Times New Roman" w:hAnsi="Times New Roman"/>
          <w:color w:val="000000"/>
          <w:sz w:val="20"/>
        </w:rPr>
      </w:pPr>
      <w:r>
        <w:rPr>
          <w:rFonts w:ascii="Times New Roman" w:hAnsi="Times New Roman"/>
          <w:color w:val="000000"/>
          <w:sz w:val="20"/>
        </w:rPr>
        <w:br/>
        <w:t>The following are the primary procedures we performed to address this critical audit matter. We evaluated the design and tested the operating effectiveness of an control related to the Company’s evaluation of the appropriate accounting guidance and technical accounting assessment for non-routine transactions. We read the debt refinancing agreement to understand the relevant terms and conditions of the transaction. We inspected the Company’s accounting analysis for the transaction. We involved professionals with specialized skills and knowledge, who assisted in identifying and evaluating the key terms and provisions of the debt refinancing agreement and evaluating the Company’s application of the relevant accounting literature in accounting for the debt refinancing.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KPMG LLP</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br/>
        <w:t>February 26,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balance_sheets"/>
      <w:bookmarkEnd w:id="17"/>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8939" w:type="dxa"/>
        <w:jc w:val="left"/>
        <w:tblInd w:w="0" w:type="dxa"/>
        <w:tblLayout w:type="fixed"/>
        <w:tblCellMar>
          <w:top w:w="28" w:type="dxa"/>
          <w:left w:w="28" w:type="dxa"/>
          <w:bottom w:w="28" w:type="dxa"/>
          <w:right w:w="28" w:type="dxa"/>
        </w:tblCellMar>
      </w:tblPr>
      <w:tblGrid>
        <w:gridCol w:w="5586"/>
        <w:gridCol w:w="146"/>
        <w:gridCol w:w="211"/>
        <w:gridCol w:w="931"/>
        <w:gridCol w:w="166"/>
        <w:gridCol w:w="146"/>
        <w:gridCol w:w="211"/>
        <w:gridCol w:w="931"/>
        <w:gridCol w:w="61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$0.001 par value; 500,000,000 shares</w:t>
              <w:br/>
              <w:t>  authorized as of December 31, 2025 and December 31, 2024;</w:t>
              <w:br/>
              <w:t xml:space="preserve">  71,267,429 and 63,559,858 shares issued and outstanding as of </w:t>
              <w:br/>
              <w: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statements_of_operations"/>
      <w:bookmarkEnd w:id="18"/>
      <w:r>
        <w:rPr>
          <w:rFonts w:ascii="Times New Roman" w:hAnsi="Times New Roman"/>
          <w:b/>
          <w:color w:val="000000"/>
          <w:sz w:val="20"/>
        </w:rPr>
        <w:t>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bookmarkStart w:id="19" w:name="range_a1_e18"/>
      <w:bookmarkEnd w:id="19"/>
      <w:r>
        <w:rPr/>
        <w:t> </w:t>
      </w:r>
    </w:p>
    <w:tbl>
      <w:tblPr>
        <w:tblW w:w="10205" w:type="dxa"/>
        <w:jc w:val="left"/>
        <w:tblInd w:w="0" w:type="dxa"/>
        <w:tblLayout w:type="fixed"/>
        <w:tblCellMar>
          <w:top w:w="28" w:type="dxa"/>
          <w:left w:w="28" w:type="dxa"/>
          <w:bottom w:w="28" w:type="dxa"/>
          <w:right w:w="28" w:type="dxa"/>
        </w:tblCellMar>
      </w:tblPr>
      <w:tblGrid>
        <w:gridCol w:w="5083"/>
        <w:gridCol w:w="146"/>
        <w:gridCol w:w="211"/>
        <w:gridCol w:w="1036"/>
        <w:gridCol w:w="166"/>
        <w:gridCol w:w="146"/>
        <w:gridCol w:w="211"/>
        <w:gridCol w:w="1036"/>
        <w:gridCol w:w="166"/>
        <w:gridCol w:w="146"/>
        <w:gridCol w:w="211"/>
        <w:gridCol w:w="1036"/>
        <w:gridCol w:w="611"/>
      </w:tblGrid>
      <w:tr>
        <w:trPr/>
        <w:tc>
          <w:tcPr>
            <w:tcW w:w="5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64,233,814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55,326,680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42,707,072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statements_of_stockholders_equity"/>
      <w:bookmarkEnd w:id="20"/>
      <w:r>
        <w:rPr>
          <w:rFonts w:ascii="Times New Roman" w:hAnsi="Times New Roman"/>
          <w:b/>
          <w:color w:val="000000"/>
          <w:sz w:val="20"/>
        </w:rPr>
        <w:t>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left"/>
        <w:rPr/>
      </w:pPr>
      <w:bookmarkStart w:id="21" w:name="range_a1_s13"/>
      <w:bookmarkEnd w:id="21"/>
      <w:r>
        <w:rPr/>
        <w:t> </w:t>
      </w:r>
    </w:p>
    <w:tbl>
      <w:tblPr>
        <w:tblW w:w="10205" w:type="dxa"/>
        <w:jc w:val="left"/>
        <w:tblInd w:w="0" w:type="dxa"/>
        <w:tblLayout w:type="fixed"/>
        <w:tblCellMar>
          <w:top w:w="28" w:type="dxa"/>
          <w:left w:w="28" w:type="dxa"/>
          <w:bottom w:w="28" w:type="dxa"/>
          <w:right w:w="28" w:type="dxa"/>
        </w:tblCellMar>
      </w:tblPr>
      <w:tblGrid>
        <w:gridCol w:w="2609"/>
        <w:gridCol w:w="146"/>
        <w:gridCol w:w="146"/>
        <w:gridCol w:w="766"/>
        <w:gridCol w:w="151"/>
        <w:gridCol w:w="146"/>
        <w:gridCol w:w="196"/>
        <w:gridCol w:w="375"/>
        <w:gridCol w:w="146"/>
        <w:gridCol w:w="146"/>
        <w:gridCol w:w="210"/>
        <w:gridCol w:w="802"/>
        <w:gridCol w:w="151"/>
        <w:gridCol w:w="146"/>
        <w:gridCol w:w="486"/>
        <w:gridCol w:w="1015"/>
        <w:gridCol w:w="151"/>
        <w:gridCol w:w="146"/>
        <w:gridCol w:w="194"/>
        <w:gridCol w:w="677"/>
        <w:gridCol w:w="151"/>
        <w:gridCol w:w="146"/>
        <w:gridCol w:w="201"/>
        <w:gridCol w:w="702"/>
        <w:gridCol w:w="200"/>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27,800,861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290,216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(213,112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76,908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underwritten follow-on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16,428,572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(95,990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44,452,161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410,492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(309,102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101,685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underwritten follow-on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17,488,480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593,237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1,486,314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short swing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(152,148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63,559,858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1,037,948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(461,250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577,155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underwritten follow-on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7,058,824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281,181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429,571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short swing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37,926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(299,615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(299,615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71,267,429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1,364,529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(760,865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604,521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2" w:name="statements_of_cash_flows"/>
      <w:bookmarkEnd w:id="22"/>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8"/>
        <w:gridCol w:w="146"/>
        <w:gridCol w:w="211"/>
        <w:gridCol w:w="841"/>
        <w:gridCol w:w="166"/>
        <w:gridCol w:w="146"/>
        <w:gridCol w:w="211"/>
        <w:gridCol w:w="841"/>
        <w:gridCol w:w="166"/>
        <w:gridCol w:w="146"/>
        <w:gridCol w:w="211"/>
        <w:gridCol w:w="841"/>
        <w:gridCol w:w="811"/>
      </w:tblGrid>
      <w:tr>
        <w:trPr/>
        <w:tc>
          <w:tcPr>
            <w:tcW w:w="5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and amortization of premium on debt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loan exit fee and amortization of loan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in the carrying amount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VT-109 license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VT-109 license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refinancing under loan and security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issuance costs related to unfunded loan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short swing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borrowings,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in follow-on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and underwriting fees related to follow-on offerings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Follow-on offering costs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Follow-on offering costs included in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notes_to_financial_statements"/>
      <w:bookmarkEnd w:id="23"/>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DESCRIPTION OF THE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Vera Therapeutics, Inc. (the Company) is a clinical stage biotechnology company focused on developing and commercializing treatments for patients with serious immunological diseases. The Company was incorporated in May 2016 in Delaware. The Company’s headquarters are in Brisbane, California. The Company operates in one segment, Therapeutics, focused on developing and commercializing transformative treatments for patients with serious immunological diseases.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devoted substantially all of its resources to its research and development efforts, pre-clinical studies and clinical trials, building a sales, marketing and distribution infrastructure to support anticipated commercial launch activities, establishing and maintaining its intellectual property portfolio, hiring personnel, raising capital, and providing general and administrative support for these operations. The Company has incurred recurring net operating losses and has not generated positive cash flows from operations since its inception and had an accumulated deficit of $760.9 million as of December 31, 2025. The Company had cash, cash equivalents and marketable securities of $714.6 million as of December 31, 2025. The Company has funded its operations primarily through the issuance of common stock, redeemable convertible preferred stock, debt financing and convertible notes. Management expects to continue to incur losses and negative cash flows from operations for at least the next several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Company’s cash, cash equivalents and marketable securities as of December 31, 2025 will be sufficient to fund its planned operations and capital expenditure requirements for at least the next 12 months subsequent to the issuance date of these financial statements. The Company intends to raise additional capital through public or private equity offerings, debt financing, or other capital sources, which may include strategic collaborations or other arrangements with third parties in order to achieve its long-term business objectives. If the Company fails to obtain necessary capital when needed on acceptable terms, or at all, it could force the Company to delay, limit, reduce or terminate its product development programs, commercialization efforts or other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in conformity with accounting principles generally accepted in the United States of America (GAAP) and applicable rules and regulations of the Securities and Exchange Commission (SEC) regarding financial reporting. The U.S. dollar is the Company’s functional and reporting currency.</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financial statements requires management to make estimates and assumptions that affect the reported amounts of assets and liabilities and disclosure of contingent assets and liabilities at the date of the financial statements and the reported amounts of expenses during the reporting period. Management estimates that affect the reported amounts of assets and liabilities include the accrual of research and development expenses, valuation of equity awards for stock-based compensation, determination of incremental borrowing rate for operating leases, the valuation allowance for deferred tax assets, and fair value of marketable securities. The Company evaluates and adjusts its estimates and assumptions on an ongoing basis using historical experience and other factors.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Concentrations of Credit Risk and Other 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marketable securities. The Company maintains bank deposits in federally insured financial institutions and these deposits may exceed federally insured limits. The Company is exposed to credit risk in the event of default by the financial institution holding its cash, cash equivalents, and marketable securities to the extent recorded in the balance sheet. The Company has not experienced any losses to date related to these concentrations.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 The Company relies on one supply chain for each of its product candidates. If any of the single source suppliers in any of the supply chains fails to satisfy the Company’s requirements on a timely basis, it could suffer delays in its clinical development programs and activities, which could adversely affect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product candidates require approvals from the U.S. Food and Drug Administration and comparable foreign regulatory authorities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 </w:t>
      </w:r>
    </w:p>
    <w:p>
      <w:pPr>
        <w:pStyle w:val="TextBody"/>
        <w:bidi w:val="0"/>
        <w:spacing w:before="24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consist of cash on deposit with financial institutions and highly liquid investments, primarily money market funds, with maturities of 90 days or less from the date of purchase.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investments in marketable securities, consisting of U.S. government bonds, U.S. government agency securities, and investment grade corporate debt securities. Marketable debt securities with stated maturities of three months or less from the date of purchase are classified as cash equivalents and those with stated maturities of greater than three months as marketable securities on the balance sheet. The Company determines the appropriate classification of marketable debt securities at the time of purchase. The Company has the ability, if necessary, to liquidate its investments to meet its liquidity needs in the next 12 months, without significant penalty. Accordingly, those investments with contractual maturities greater than one year from the date of purchase are classified as current assets on the accompanying balance sheets. All marketable debt securities are classified as available-for-sale and are reported at estimated fair value, with unrealized gains and losses recorded in accumulated other comprehensive income within stockholders’ equity. Interest, amortization and accretion of purchase premiums and discounts on marketable debt securities are included in other (expense) income, net, in the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available-for-sale marketable securities sold is based on the specific identification method. Realized gains and losses on the sale of available-for-sale marketable securities are recorded in other (expense) income, net in the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periodically reviews marketable debt securities for impairment. For debt securities in an unrealized loss position, the Company determines whether a credit loss exists. The credit loss is estimated by considering available information relevant to the collectability of the security and information about past events, current conditions, and reasonable and supportable forecasts. Any decline in fair value due to a credit loss is recorded in other (expense) income, net in the statements of operations and comprehensive loss. Unrealized losses due to factors other than the credit loss are recognized in accumulated other comprehensive income (loss). In addition, if the Company has the intent to sell a debt security or it is more likely than not that the Company will be required to sell the security before recovery of the entire cost basis, an impairment charge equal to the difference between fair value and the cost basis is recorded in other (expense) income, net in the statements of operations and comprehensive loss. No impairment loss was recognized for the fiscal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amortized or accreted cost basis of the marketable securities approximates its fair value.</w:t>
      </w:r>
    </w:p>
    <w:p>
      <w:pPr>
        <w:pStyle w:val="TextBody"/>
        <w:bidi w:val="0"/>
        <w:spacing w:before="24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under operating leases and determines if the arrangement is a lease at inception. These lease agreements generally contain lease and non-lease components. Non-lease components primarily include fixed payments for maintenance, utilities, and management fees. The fixed costs of the lease components and associated non-lease components are combined and accounted together as a single lease component which is recognized as an increase to the operating lease right-of-use (ROU) assets and operating lease liabilities. For leases with a lease term of 12 months or less, ROU assets and lease liabilities are not recognized on the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lease agreements may also contain variable payments, such as common area maintenance, real estate taxes, and insurance, which are expensed as incurred and not included in the lease ROU assets and lease liabilities. Operating lease cost (excluding variable lease costs) is recognized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and lease liabilities are recognized at the present value of future lease payments at the lease commencement date. As the rate implicit in the Company’s leases is not readily determinable, the Company uses an incremental borrowing rate based on information available at commencement date in determining the present value of future lease payments. The incremental borrowing rate is the rate of interest that the Company would have to pay to borrow on a collateralized basis over a similar term an amount equal to the lease payments in a similar economic environment.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ROU assets represent the Company’s right to use an underlying asset for the lease term and operating lease liabilities represent the Company’s obligation to make the contractual lease payments over the lease term. The current portion of operating lease liabilities is included in current liabilities, and the long-term portion is included in operating lease liabilities, noncurrent.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Translations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statements of operations and statements of cash flows. Nonmonetary assets and liabilities are not subsequently re-measured.</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to sell an asset or transfer a liability (exit price) in the principal or most advantageous market for the asset or liability in an orderly transaction between market participants at the measurement date. Fair value should be based on the assumptions market participants would use when pricing the asset or liability. The valuation hierarchy is based upon the transparency of inputs to the valuation of an asset or liability as of the measurement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measurements are classified and disclosed in one of the following three categories: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unadjusted prices for identical instruments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Quoted prices for similar instruments in active markets, quoted prices for identical or similar instruments in markets that are not active, and model-derived valuations in which all significant inputs and value drivers are observable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Model derived valuations in which one or more significant inputs or significant value drivers are unobservable, including assumptions developed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accounting is applied to all financial assets and liabilities that are recognized or disclosed in the financial statements on a recurring basis. The Company’s financial instruments consist of cash and cash equivalents, marketable securities, prepaid expenses and other current assets, accounts payable and accrued expenses and long-term debt. Cash and marketable securities are reported at their respective fair values on the Company’s balance sheets. The carrying amount of long-term debt approximates fair value due to its variable interest rate. The remaining financial instruments are reported on the Company’s balance sheets at cost, which approximates their fair value due to their short-term nature.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highly liquid investments that are actively traded. The pricing information for the Company’s money market funds is readily available and can be independently validated as of the measurement date. This approach results in the classification of these instruments as Level 1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financial assets or liabilities between Levels 1, 2, or 3 for any of the periods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consists of two components: net loss and other comprehensive income. Other comprehensive income refers to unrealized gains and losses that are recorded as an element of stockholders’ equity and are excluded from net loss. For the years ended December 31, 2025, 2024, and 2023, other comprehensive income consists of unrealized gains and losses on marketable securities.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and consist primarily of employees’ salaries and related benefits, including stock-based compensation for employees engaged in research and development efforts, allocated overhead including rent, depreciation, information technology and utilities, contracted services, license fees, and external expenses to conduct and support the Company’s operations that are directly attributable to the Company’s research and development efforts. Payments made to third parties under these arrangements in advance of the performance of the related services by the third parties are recorded as prepaid expenses until the services are rendered.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 obtaining technology licenses including upfront and milestone payments incurred under the Company’s licensing agreements are recorded as expense in the period in which they are incurred, provided that the licensed technology, method or process has no alternative future uses other than for the Company’s research and development activities. Where contingent milestone payments are due to third parties under license or other agreements, the milestone payment obligations are recognized as expense when achievement of the contingent milestone is probable, which is generally upon achievement of the milestone.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various research and development and other agreements with commercial firms, researchers, and others for provisions of goods and services from time to time. These agreements are generally cancellable, and the related costs are recorded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as incurred.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Judgments and estimates are made to determine the accrued balances at the end of any reporting period. Actual results could differ from the Company’s estimates.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compensation expense based on estimated fair values for all stock-based payment awards made to the Company’s employees, nonemployee directors and consultants that are expected to vest. The valuation of stock option awards is determined at the date of grant using the Black-Scholes option pricing model. The Black-Scholes option pricing model requires the Company to make assumptions and judgments about the inputs used in the calculations, such as the fair value of the common stock, expected term, expected volatility of the Company’s common stock, risk-free interest rate and expected dividend yield. The valuation of restricted stock awards is measured by the fair value of the Company’s Class A common stock on the date of the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stock options granted, the Company calculated the expected term using the simplified method (derived from the average midpoint between the weighted average vesting period and the contractual term of the award), as the Company has limited historical information to develop expectations about future exercise patterns and post-vesting employment termination behavior. The estimate of expected volatility is based on comparative companies’ volatility. The risk-free rate is based on the yield available on United States Treasury zero-coupon issues corresponding to the expected term of the award. The Company records forfeitures when they occur. The Company determines the fair value of its Class A common stock using the market closing price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compensation expense for service-based awards on a straight-line basis over the requisite service period, which is generally the vesting period of the award. The amount of stock-based compensation expense recognized during a period is based on the value of the portion of the awards that are ultimately expected to vest. </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Deferred income taxes are recorded for temporary differences between financial statement carrying amounts and the tax basis of assets and liabilities. Deferred tax assets and liabilities reflect tax rates expected to be in effect for the years in which the differences are expected to be reversed. A valuation allowance is provided if it is more likely than not that some or all of the deferred tax assets will not be realized.</w:t>
      </w:r>
    </w:p>
    <w:p>
      <w:pPr>
        <w:pStyle w:val="TextBody"/>
        <w:bidi w:val="0"/>
        <w:spacing w:before="240" w:after="283"/>
        <w:jc w:val="left"/>
        <w:rPr>
          <w:rFonts w:ascii="Times New Roman" w:hAnsi="Times New Roman"/>
          <w:sz w:val="20"/>
        </w:rPr>
      </w:pP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share attributable to common stockholders is the same as basic net loss per share attributable to common stockholders, because potentially dilutive shares are not assumed to have been issued if their effect is anti-dilutive.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ASU 2023-09, Improvements to Income Tax Disclosures (Topic 740). The ASU is intended to enhance the transparency and decision usefulness of income tax disclosures in response to investor requests. The amendments in ASU 2023-09 address these requests primarily through changes to the effective tax rate reconciliation, disaggregation of income taxes paid, and certain additional income tax-related disclosures. The guidance is effective for annual reporting periods beginning after December 15, 2024, with early adoption permitted. The Company adopted this standard effective January 1, 2025 using a retrospective approach, and it did not have a material impact on the Company’s financial statements or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This update will improve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The ASU is effective for annual reporting periods beginning after December 15, 2026, and interim reporting periods beginning after December 15, 2027, with early adoption permitted. The Company will adopt the standard as of and for the year ending December 31, 2027 and for the interim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reporting periods within the year ending December 31, 2028. This ASU will result in the required additional disclosures being included in the Company’s financial statements upon adoption.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This update will provide all entities with a practical expedient in developing reasonable and supportable forecasts as part of estimating expected credit losses by assuming that current conditions as of the balance sheet date do not change for the remaining life of the asset. The ASU is effective for annual reporting periods beginning after December 15, 2025, and interim reporting periods within those annual reporting periods, with early adoption permitted in both interim and annual reporting periods for which financial statements have not yet been issued or made available for issuance. The Company will adopt the standard as of and for the year ending December 31, 2026 and interim periods within that period, starting with the first quarter of 2026. The Company does not expect that the adoption of this standard will have a material impact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This update will introduce changes to the timing of software cost capitalization based on likelihood of completion for all entities subject to the internal-use software guidance in Subtopic 350-40 and the guidance on website development costs in Subtopic 350-50. The ASU will be effective for annual reporting periods beginning after December 15, 2027, and interim reporting periods within those annual reporting periods, with early adoption permitted as of the beginning of an annual reporting period. The Company is currently evaluating the timing of adoption and the impact of adoption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The ASU will be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2025-12, Codification Improvements. This update will make a number of amendments to the Accounting Standards Codification and improvements to GAAP arising from technical corrections, unintended application of the Codification, clarifications, and other minor improvements. The ASU will be effective for annual reporting periods beginning after December 15, 2026, and interim reporting periods within those annual reporting periods, with early adoption permitted in both interim and annual reporting periods for which financial statements have not yet been issued or made available for issuance. Entities may elect to early adopt the amendments on an issue-by-issue basis. The Company is currently evaluating the timing of adoption and the impact of adoption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President Trump signed “An Act to provide for reconciliation pursuant to title II of H. Con. Res. 14,” commonly referred to as the “One Big Beautiful Bill Act” (OBBB), into law. The OBBB makes key elements of the Tax Cuts and Jobs Act permanent, including 100% bonus depreciation and domestic research cost expensing, and raises the limit on business interest expense deductions. Accounting Standards Codification Topic No. 740, Income Taxes, requires that the Company recognize the effects of changes in tax rates and laws in the period in which the legislation is enacted. In accordance with GAAP, the Company accounted for the effects of the changes in the tax law in the year ended December 31, 2025. The OBBB did not have a material impact on the Company’s effective income tax rate for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OTHER FINANCIAL STATEMENT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Prepaid expenses and other current assets consist of the following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6334"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11"/>
        <w:gridCol w:w="67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drug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professional services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commercial planning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Accrued expenses and other current liabilities consist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664"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drug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commercial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CASH, 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equivalents and available-for-sale investment securities are classified within the fair value hierarchy as defined by authoritative guidance. Level 1 securities consist of highly liquid money market funds for which the carrying amount approximates the fair value of identical assets as quoted in the active markets. Level 2 securities, consisting of U.S. Treasuries, U.S. agency securities and corporate debt securities, are measured based on other observable inputs, including broker or dealer quotations or other valuations using observable market data. The Company’s debt securities are accounted for as available-for-sale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gains and losses are reported as a component of other comprehensive income (loss). Fair value of the debt securities was $367.1 million and $552.8 million as of December 31,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the Company’s financial assets measured at fair value on a recurring basis by level within the fair value hierarchy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320"/>
        <w:gridCol w:w="146"/>
        <w:gridCol w:w="939"/>
        <w:gridCol w:w="146"/>
        <w:gridCol w:w="214"/>
        <w:gridCol w:w="794"/>
        <w:gridCol w:w="146"/>
        <w:gridCol w:w="146"/>
        <w:gridCol w:w="305"/>
        <w:gridCol w:w="611"/>
        <w:gridCol w:w="146"/>
        <w:gridCol w:w="146"/>
        <w:gridCol w:w="279"/>
        <w:gridCol w:w="638"/>
        <w:gridCol w:w="166"/>
        <w:gridCol w:w="146"/>
        <w:gridCol w:w="220"/>
        <w:gridCol w:w="815"/>
        <w:gridCol w:w="146"/>
        <w:gridCol w:w="146"/>
        <w:gridCol w:w="226"/>
        <w:gridCol w:w="837"/>
        <w:gridCol w:w="146"/>
        <w:gridCol w:w="146"/>
        <w:gridCol w:w="220"/>
        <w:gridCol w:w="817"/>
        <w:gridCol w:w="198"/>
      </w:tblGrid>
      <w:tr>
        <w:trPr/>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182,673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223,873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548,206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debt securities that had been in unrealized loss positions as of December 31, 2025 and 2024 were in an unrealized loss position for less than 12 months. Unrealized losses from marketable debt securities are primarily attributable to changes in interest rates. Management does not believe any remaining unrealized losses represent impairments based on evaluation of available evidence.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classifies the estimated fair value of investments in available-for-sale marketable debt securities by effective contractual maturity dates </w:t>
      </w:r>
      <w:r>
        <w:rPr>
          <w:rFonts w:ascii="Times New Roman" w:hAnsi="Times New Roman"/>
          <w:i/>
          <w:color w:val="000000"/>
          <w:sz w:val="20"/>
        </w:rPr>
        <w:t>(in thousands)</w:t>
      </w:r>
      <w:r>
        <w:rPr>
          <w:rFonts w:ascii="Times New Roman" w:hAnsi="Times New Roman"/>
          <w:color w:val="000000"/>
          <w:sz w:val="20"/>
        </w:rPr>
        <w:t>:</w:t>
      </w:r>
    </w:p>
    <w:tbl>
      <w:tblPr>
        <w:tblW w:w="4448" w:type="dxa"/>
        <w:jc w:val="left"/>
        <w:tblInd w:w="0" w:type="dxa"/>
        <w:tblLayout w:type="fixed"/>
        <w:tblCellMar>
          <w:top w:w="28" w:type="dxa"/>
          <w:left w:w="28" w:type="dxa"/>
          <w:bottom w:w="28" w:type="dxa"/>
          <w:right w:w="28" w:type="dxa"/>
        </w:tblCellMar>
      </w:tblPr>
      <w:tblGrid>
        <w:gridCol w:w="2611"/>
        <w:gridCol w:w="146"/>
        <w:gridCol w:w="319"/>
        <w:gridCol w:w="118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non-cancellable operating leases, including a sublease for an office facility serving as its corporate headquarters in Brisbane, California, that expires in 2029. The Company was the primary leaseholder of a facility in South San Francisco, California, that was later subleased to a third party and for which both the lease and the sublease ended concurrently in September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Components of net lease cost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2206"/>
        <w:gridCol w:w="146"/>
        <w:gridCol w:w="211"/>
        <w:gridCol w:w="631"/>
        <w:gridCol w:w="166"/>
        <w:gridCol w:w="146"/>
        <w:gridCol w:w="211"/>
        <w:gridCol w:w="631"/>
        <w:gridCol w:w="166"/>
        <w:gridCol w:w="146"/>
        <w:gridCol w:w="211"/>
        <w:gridCol w:w="631"/>
        <w:gridCol w:w="2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Other supplemental information related to operating leases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206" w:type="dxa"/>
        <w:jc w:val="left"/>
        <w:tblInd w:w="0" w:type="dxa"/>
        <w:tblLayout w:type="fixed"/>
        <w:tblCellMar>
          <w:top w:w="28" w:type="dxa"/>
          <w:left w:w="28" w:type="dxa"/>
          <w:bottom w:w="28" w:type="dxa"/>
          <w:right w:w="28" w:type="dxa"/>
        </w:tblCellMar>
      </w:tblPr>
      <w:tblGrid>
        <w:gridCol w:w="5851"/>
        <w:gridCol w:w="146"/>
        <w:gridCol w:w="211"/>
        <w:gridCol w:w="571"/>
        <w:gridCol w:w="146"/>
        <w:gridCol w:w="146"/>
        <w:gridCol w:w="222"/>
        <w:gridCol w:w="604"/>
        <w:gridCol w:w="146"/>
        <w:gridCol w:w="146"/>
        <w:gridCol w:w="222"/>
        <w:gridCol w:w="604"/>
        <w:gridCol w:w="19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to right-of-use assets obtained from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December 31, 2025, the maturities of operating lease liabilities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295" w:type="dxa"/>
        <w:jc w:val="left"/>
        <w:tblInd w:w="0" w:type="dxa"/>
        <w:tblLayout w:type="fixed"/>
        <w:tblCellMar>
          <w:top w:w="28" w:type="dxa"/>
          <w:left w:w="28" w:type="dxa"/>
          <w:bottom w:w="28" w:type="dxa"/>
          <w:right w:w="28" w:type="dxa"/>
        </w:tblCellMar>
      </w:tblPr>
      <w:tblGrid>
        <w:gridCol w:w="4156"/>
        <w:gridCol w:w="146"/>
        <w:gridCol w:w="211"/>
        <w:gridCol w:w="57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not executed any leases that were yet to commence.</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NOTES PAYABLE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Notes payable consist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0"/>
        <w:gridCol w:w="146"/>
        <w:gridCol w:w="766"/>
        <w:gridCol w:w="146"/>
        <w:gridCol w:w="1508"/>
        <w:gridCol w:w="146"/>
        <w:gridCol w:w="211"/>
        <w:gridCol w:w="676"/>
        <w:gridCol w:w="166"/>
        <w:gridCol w:w="146"/>
        <w:gridCol w:w="1508"/>
        <w:gridCol w:w="146"/>
        <w:gridCol w:w="211"/>
        <w:gridCol w:w="676"/>
        <w:gridCol w:w="193"/>
      </w:tblGrid>
      <w:tr>
        <w:trPr/>
        <w:tc>
          <w:tcPr>
            <w:tcW w:w="3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note 2021-12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note 2022-11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note 2023-12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note 2025-06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 net of accrued exit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50,687</w:t>
            </w:r>
          </w:p>
        </w:tc>
        <w:tc>
          <w:tcPr>
            <w:tcW w:w="1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refinanced its debt under the non-revolving loan and security agreement (2021 Loan Agreement) with a loan syndicate involving Oxford Finance LLC (Oxford Finance), Oxford Finance Credit Fund II LP (OFCF II), and Oxford Finance Credit Fund III LP (OFCF III) entered into in December 2021, by entering into a new non-revolving loan and security agreement, the proceeds of which were partially used to prepay the outstanding principal balance of the 2021 Loan Agreement in full. The Company paid an exit fee of $3.0 million, equal to 6% on the aggregate principal amount of the loan, as 1% of the original 7% exit fee was waived in connection with the refinancing. The entirety of the 2% prepayment fee that would have applied to the prepayment of the $25.0 million of debt drawn in December 2023 was also waived in connection with the refinancing.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the Company entered into a new non-revolving loan and security agreement (2025 Loan Agreement) with a loan syndicate involving Oxford Finance, OFCF II, OFCF III, and Oxford Finance Credit Fund IV LP (OFCF IV) (collectively, Oxford). The 2025 Loan Agreement has a total borrowing capacity of up to $500.0 million, of which $75.0 million was funded at closing and $50.0 million remains available for draw at the Company’s discretion from January 1, 2026 through December 31, 2026. The Company also has the option to draw up to $75.0 million upon accelerated approval of atacicept in immunoglobulin A nephropathy (IgAN), two tranches of a maximum of $50.0 million upon achievement of certain commercial milestones related to atacicept in IgAN once approved, and up to $200.0 million available at the mutual discretion of the Company and Oxford. As of December 31, 2025, the Company’s outstanding borrowing under the 2025 Loan Agreement was $75.0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accounted for the loan syndicate on a creditor-by-creditor basis. With respect to the continuing creditors, Oxford Finance, OFCF II, and OFCF III, the Company accounted for this transaction as a loan modification, and with respect to the new lender, OFCF IV, the Company accounted for this transaction as an issuance of debt. Of the $3.7 million in exit fees on the 2021 Loan Agreement and fees paid to creditors as part of the refinancing, $1.6 million was recorded as a reduction to the net carrying amount of the debt drawn under the 2025 Loan Agreement at close, and $2.0 million was recorded as noncurrent deferred debt issuance costs. Of the $2.3 million in fees paid by the Company to third parties in connection with the refinancing, $0.8 million was recorded as other expense, and $1.4 million was recorded as noncurrent deferred debt issuance costs. Deferred debt issuance costs will be amortized over the respective draw periods of each of the loan commitment tranches on a straight-line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Agreement is scheduled to mature in June 2030, provided that the Company has not achieved a revenue-based interest-only extension milestone as of the end of the initial interest-only period in August 2029. If the Company achieves this interest-only extension milestone, the maturity date and end of the interest-only period will be extended to June 2031 and August 2030, respectively. The Company is permitted to prepay the loan, subject to certain conditions, and will incur prepayment fees of 2% if the loan is prepaid prior to June 4, 2027 or 1% if the loan is prepaid between June 5, 2027 and June 4, 2028. No prepayment fee shall be applicable after June 4, 2028. Additionally, upon maturity date, acceleration of the loan in the event of default, or prepayment of the loan, the Company is required to pay an exit fee equal to 5% of the aggregate principal amount of the loan. The Company will accrue for this exit fee over the life of the loan as an increase to the net carrying amount of debt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variable interest rate on the drawn amount is 1-Month CME Term SOFR (subject to a per annum floor rate of 3.75%) plus 4.95% per annum. At the initial funding of the 2025 Loan Agreement on June 4, 2025, the nominal interest rate was 9.27%. There are two financial covenants: (i) commencing on March 31, 2027, the Company is required to maintain certain levels of unrestricted cash subject to control agreements provided that such liquidity covenant shall not apply at any given time if the market capitalization of the Company is at least $1.0 billion on the measurement date, and (ii) commencing with the last day of the month in which the aggregate amount of Term Loans funded exceeds $200.0 million, the Company will be required to maintain a loan coverage ratio, which will replace the minimum cash covenant. The loan coverage ratio should not apply at any given time if the market capitalization of the Company is at least $1.25 billion on the measurement date. The loan is secured by substantially all of the Company’s assets. The proceeds from the 2025 Loan Agreement were partially used to prepay the outstanding principal balance of the 2021 Loan Agreement in full, with the remaining proceeds available for working capital, capital expenditures, and other general corporate purposes.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Principal installments due on the notes are as follows </w:t>
      </w:r>
      <w:r>
        <w:rPr>
          <w:rFonts w:ascii="Times New Roman" w:hAnsi="Times New Roman"/>
          <w:i/>
          <w:color w:val="000000"/>
          <w:sz w:val="20"/>
        </w:rPr>
        <w:t>(in thousands)</w:t>
      </w:r>
      <w:r>
        <w:rPr>
          <w:rFonts w:ascii="Times New Roman" w:hAnsi="Times New Roman"/>
          <w:color w:val="000000"/>
          <w:sz w:val="20"/>
        </w:rPr>
        <w:t>:</w:t>
      </w:r>
    </w:p>
    <w:tbl>
      <w:tblPr>
        <w:tblW w:w="3025" w:type="dxa"/>
        <w:jc w:val="left"/>
        <w:tblInd w:w="0" w:type="dxa"/>
        <w:tblLayout w:type="fixed"/>
        <w:tblCellMar>
          <w:top w:w="28" w:type="dxa"/>
          <w:left w:w="28" w:type="dxa"/>
          <w:bottom w:w="28" w:type="dxa"/>
          <w:right w:w="28" w:type="dxa"/>
        </w:tblCellMar>
      </w:tblPr>
      <w:tblGrid>
        <w:gridCol w:w="1801"/>
        <w:gridCol w:w="146"/>
        <w:gridCol w:w="211"/>
        <w:gridCol w:w="67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Company’s amended and restated certificate of incorporation authorized the Company to issue 500,000,000 shares of Class A common stock, 14,600,000 shares of Class B common stock, and 10,000,000 shares of preferred stock, each with a par value of $0.001 per share. Each share of Class A common stock entitles the holder to one vote on all matters submitted to a vote of the Company’s stockholders. There were no shares of Class B common stock or preferred stock issued and outstanding as of December 31, 2025 and 2024. Common stockholders are entitled to receive dividends, as may be declared by the board of directors. Through December 31, 2025, no cash dividends have been declared or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completed a follow-on public offering pursuant to which the Company issued and sold 16,428,572 shares of its Class A common stock at a public offering price of $7.00 per share, including 2,142,857 shares of Class A common stock pursuant to the full exercise of the underwriters’ option to purchase additional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completed a follow-on public offering pursuant to which the Company issued and sold 9,274,194 shares of its Class A common stock at a public offering price of $31.00 per share, including 1,209,677 shares of Class A common stock pursuant to the full exercise of the underwriters’ option to purchase additional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completed a follow-on public offering pursuant to which the Company issued and sold 7,142,858 shares of its Class A common stock at a public offering price of $42.00 per share, and in November 2024, the Company issued and sold an additional 1,071,428 shares of Class A common stock, pursuant to the full exercise of the underwriters’ option to purchase additional shares at the public offering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completed a follow-on public offering pursuant to which the Company issued and sold 7,058,824 shares of its Class A common stock at a public offering price of $42.50 per share, including 920,716 shares of Class A common stock pursuant to the full exercise of the underwriters’ option to purchase additional shares.</w:t>
      </w:r>
    </w:p>
    <w:p>
      <w:pPr>
        <w:pStyle w:val="TextBody"/>
        <w:bidi w:val="0"/>
        <w:spacing w:before="360" w:after="283"/>
        <w:jc w:val="left"/>
        <w:rPr>
          <w:rFonts w:ascii="Times New Roman" w:hAnsi="Times New Roman"/>
          <w:sz w:val="20"/>
        </w:rPr>
      </w:pPr>
      <w:r>
        <w:rPr>
          <w:rFonts w:ascii="Times New Roman" w:hAnsi="Times New Roman"/>
          <w:b/>
          <w:color w:val="000000"/>
          <w:sz w:val="20"/>
        </w:rPr>
        <w:t>8. 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adopted the 2024 Inducement Plan (Inducement Plan). The Inducement Plan was adopted by the compensation committee of the Company’s board of directors without stockholder approval pursuant to Nasdaq Listing Rule 5635(c)(4) and subsequently amended in August 2024, January 2025, and September 2025. In accordance with Rule 5635(c)(4), awards made under the Inducement Plan, including stock options and restricted stock units, may only be granted to newly hired employees as a material inducement to accept employment with the Company. Stock options granted under the Inducement Plan expire no later than ten years from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Equity Incentive Plan and 2017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Equity Incentive Plan (2021 EIP) and the 2017 Equity Incentive Plan (2017 EIP) became effective in May 2021 and February 2017, respectively. The Company may not grant any additional awards under the 2017 EIP. The 2017 EIP will continue to govern outstanding equity awards granted thereunder. Stock options granted under the 2021 EIP and 2017 EIP expire no later than ten years from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Employee Stock Purchase Plan (ESPP) became effective in May 2021. As of December 31, 2025, 150,090 shares have been issued pursuant to the ESPP. The ESPP generally provides for six-month consecutive offering periods beginning every September 14 and March 14. The ESPP is a compensatory plan as defined by the authoritative guidance for stock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Company's equity plans as of December 31, 2025:</w:t>
      </w:r>
    </w:p>
    <w:p>
      <w:pPr>
        <w:pStyle w:val="TextBody"/>
        <w:bidi w:val="0"/>
        <w:jc w:val="left"/>
        <w:rPr/>
      </w:pPr>
      <w:r>
        <w:rPr/>
        <w:t> </w:t>
      </w:r>
    </w:p>
    <w:tbl>
      <w:tblPr>
        <w:tblW w:w="9540" w:type="dxa"/>
        <w:jc w:val="left"/>
        <w:tblInd w:w="0" w:type="dxa"/>
        <w:tblLayout w:type="fixed"/>
        <w:tblCellMar>
          <w:top w:w="28" w:type="dxa"/>
          <w:left w:w="28" w:type="dxa"/>
          <w:bottom w:w="28" w:type="dxa"/>
          <w:right w:w="28" w:type="dxa"/>
        </w:tblCellMar>
      </w:tblPr>
      <w:tblGrid>
        <w:gridCol w:w="3091"/>
        <w:gridCol w:w="146"/>
        <w:gridCol w:w="376"/>
        <w:gridCol w:w="2669"/>
        <w:gridCol w:w="146"/>
        <w:gridCol w:w="146"/>
        <w:gridCol w:w="376"/>
        <w:gridCol w:w="2399"/>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Available for Future Issuance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under the 2017 EIP, 2021 EIP, and 2024 Inducement Plan for the year ended December 31, 2025 is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162"/>
        <w:gridCol w:w="1038"/>
        <w:gridCol w:w="166"/>
        <w:gridCol w:w="146"/>
        <w:gridCol w:w="538"/>
        <w:gridCol w:w="1462"/>
        <w:gridCol w:w="146"/>
        <w:gridCol w:w="146"/>
        <w:gridCol w:w="535"/>
        <w:gridCol w:w="1716"/>
        <w:gridCol w:w="146"/>
        <w:gridCol w:w="146"/>
        <w:gridCol w:w="303"/>
        <w:gridCol w:w="1122"/>
        <w:gridCol w:w="196"/>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(000s)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of stock options exercised during the years ended December 31, 2025, 2024, and 2023 was $12.0 million, $46.8 million, and $1.0 million, respectively. The weighted-average grant date fair value of options granted during the years ended December 31, 2025, 2024, and 2023 was $22.59 per share, $19.65 per share, and $5.92 per share,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Award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restricted stock units (RSU) pursuant to the 2021 EIP and satisfies such grants through the issuance of the Company’s Class A common stock. The following table shows RSU activity for the period ending December 31, 2025:</w:t>
      </w:r>
    </w:p>
    <w:p>
      <w:pPr>
        <w:pStyle w:val="TextBody"/>
        <w:bidi w:val="0"/>
        <w:jc w:val="left"/>
        <w:rPr/>
      </w:pPr>
      <w:r>
        <w:rPr/>
        <w:t> </w:t>
      </w:r>
    </w:p>
    <w:tbl>
      <w:tblPr>
        <w:tblW w:w="6480" w:type="dxa"/>
        <w:jc w:val="left"/>
        <w:tblInd w:w="0" w:type="dxa"/>
        <w:tblLayout w:type="fixed"/>
        <w:tblCellMar>
          <w:top w:w="28" w:type="dxa"/>
          <w:left w:w="28" w:type="dxa"/>
          <w:bottom w:w="28" w:type="dxa"/>
          <w:right w:w="28" w:type="dxa"/>
        </w:tblCellMar>
      </w:tblPr>
      <w:tblGrid>
        <w:gridCol w:w="3376"/>
        <w:gridCol w:w="146"/>
        <w:gridCol w:w="150"/>
        <w:gridCol w:w="960"/>
        <w:gridCol w:w="166"/>
        <w:gridCol w:w="146"/>
        <w:gridCol w:w="335"/>
        <w:gridCol w:w="910"/>
        <w:gridCol w:w="2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 xml:space="preserve">FAIR VALUE </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tables summarize the stock-based compensation expense for stock options and restricted stock units granted to employees and nonemployees and for ESPP stock-based compensation that was recorded in the Company’s statements of operations and comprehensive loss for the years ended December 31, 2025, 2024, and 2023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December 31, 2025, the Company had $66.0 million</w:t>
      </w:r>
      <w:r>
        <w:rPr>
          <w:rFonts w:ascii="Times New Roman" w:hAnsi="Times New Roman"/>
          <w:color w:val="FF0000"/>
          <w:sz w:val="20"/>
        </w:rPr>
        <w:t xml:space="preserve"> </w:t>
      </w:r>
      <w:r>
        <w:rPr>
          <w:rFonts w:ascii="Times New Roman" w:hAnsi="Times New Roman"/>
          <w:color w:val="000000"/>
          <w:sz w:val="20"/>
        </w:rPr>
        <w:t>of unrecognized stock-based compensation expense related to unvested stock options, which is expected to be recognized over a weighted-average period of approximately 2.5 years. For the years ended December 31, 2025, 2024, and 2023, the Company recognized $27.3 million, $17.1 million, and $10.0 million of stock-based compensation expense for stock options,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$38.0 million of unrecognized stock-based compensation expense related to unvested RSUs, which is expected to be recognized over a weighted-average period of approximately 3.1 years. For the years ended December 31, 2025, 2024, and 2023, the Company recognized $9.9 million, $3.4 million, and $1.6 million of stock-based compensation expense for RSUs,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related to the ESPP for the years ended December 31, 2025, 2024, and 2023 was $0.9 million, $0.3 million, and $0.2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tax benefit was recognized related to stock-based compensation expense since the Company has never reported taxable income and has established a full valuation allowance to offset all of the potential tax benefits associated with its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granted during the years ended December 31, 2025, 2024, and 2023 was estimated using the Black-Scholes option pricing model based on the following assumptions:</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2086"/>
        <w:gridCol w:w="146"/>
        <w:gridCol w:w="1351"/>
        <w:gridCol w:w="146"/>
        <w:gridCol w:w="1351"/>
        <w:gridCol w:w="146"/>
        <w:gridCol w:w="13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81.8% – 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69.7% –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79.5% – 80.5%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4.7%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LICENSES AND COLLABORATIONS</w:t>
      </w:r>
    </w:p>
    <w:p>
      <w:pPr>
        <w:pStyle w:val="TextBody"/>
        <w:bidi w:val="0"/>
        <w:spacing w:before="240" w:after="283"/>
        <w:jc w:val="left"/>
        <w:rPr>
          <w:rFonts w:ascii="Times New Roman" w:hAnsi="Times New Roman"/>
          <w:sz w:val="20"/>
        </w:rPr>
      </w:pPr>
      <w:r>
        <w:rPr>
          <w:rFonts w:ascii="Times New Roman" w:hAnsi="Times New Roman"/>
          <w:b/>
          <w:color w:val="000000"/>
          <w:sz w:val="20"/>
        </w:rPr>
        <w:t>Ares Trading S.A.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2020, the Company entered into a license agreement (Ares Agreement) with Ares Trading S.A. (Ares),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Ares Agreement, the Company paid a non-refundable license issue fee to Ares in the form of shares of redeemable convertible preferred stock valued at $13.1 million. The redeemable convertible preferred stock subsequently converted into 1,913,501 shares of common stock in May 2021. In December 2020, the Company paid Ares a milestone payment of $25.0 million upon delivery and initiation of the transfer of specified information and materials. The non-refundable license issue fee and milestone payment were recorded to research and development expense in the period incurred. In January 2026, upon filing of the Company’s Biologics License Application (BLA) with the U.S. Food and Drug Administration (FDA) for treatment of atacicept in IgAN, the Company achieved a specified regulatory milestone and paid $15.0 million to 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pay Ares additional milestone payments, including $20.0 million upon regulatory approval for IgAN in the U.S., and other potential milestone payments of up to $141.5 million in aggregate upon the achievement of regulatory filing and approval milestones for other geographic regions and indications, and up to $515.0 million upon the achievement of specified worldwide aggregate annual net sales milestones, beginning with $15.0 million if net sales reach $250.0 million and $50.0 million if net sales reach $500.0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effective date of the Ares Agreement, Ares has performed transfer of manufacturing technology and know-how to the Company. The Company recorded expenses of $0.3 million and $2.8 million to Ares for these services during the years ended December 31, 2024, and 2023, respectively. These amounts are included in research and development expenses on the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Commencing on the first commercial sale of licensed products, the Company is obligated to pay Ares tiered royalties of low double-digit to mid-teen percentages on annual net sales of the licensed products covered by the license. The Company is obligated to pay royalties on a licensed product-by-licensed product and country-by-country basis from the first commercial sale of a product in a country until the latest of (i) 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including data exclusivity, in such country with respect to such product. If the Company were to sublicense its rights under the Ares Agreement, the Company would be obligated to pay Ares a percentage ranging from the mid-single-digit to the low double-digits of specified sublicensing income received.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Amplyx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the Company entered into an asset purchase agreement (Amplyx Agreement) with Amplyx Pharmaceuticals,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 (Amplyx), a wholly owned subsidiary of Pfizer Inc. Pursuant to the terms of the Amplyx Agreement, the Company paid $5.0 million to Amplyx to purchase assets relating to an anti-BK virus monoclonal antibody referred to as MAU868 for the treatment of reactivated BK virus (BKV) infection pursuant to a License Agreement between Amplyx and Novartis International Pharmaceutical AG (Novartis). In addition, the Company recognized a $2.0 million contingent milestone obligation as an assumed liability related to the asset purchase. The acquisition cost of $7.0 million was recorded as research and development expense in the statement of operations and comprehensive loss on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Amplyx asset purchase, Amplyx assigned the Exclusive License Agreement between Amplyx and Novartis (Novartis License) and Manufacturing and Supply Agreements to the Company. Under the Novartis License, the Company has exclusive worldwide rights from Novartis to develop, manufacture and commercialize MAU868. The Company will be solely responsible for all research, development, regulatory, manufacturing and commercialization activities of MAU868.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Amplyx Agreement, the Company is obligated to make future milestone payments to Amplyx and Novartis upon the achievement of specified development, regulatory and commercial milestones. In September 2022, the Company and Novartis entered into an amendment to the Novartis License to modify the terms of future milestone payments. Pursuant to this amendment, the Company issued 283,034 shares of Class A common stock to Novartis in exchange for a reduction of $7.0 million in contingent future development milestones, including the $2.0 million contingent milestone obligation accrued by the Company in December 2021. The value of the shares issued was $5.7 million based on the closing market value of the Company’s Class A common stock as of the effective date of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make future milestone payments of up to $7.0 million to Amplyx, contingent upon the achievement of certain regulatory milestones. The Company is also obligated to make future milestone payments of up to $62.0 million to Novartis, contingent upon the achievement of specified development, regulatory and commercial milestones. In the event that MAU868 is commercialized, the Company will be obligated to pay royalties to Amplyx and Novartis based on net sales by country and by product.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Stanford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entered into a license agreement (Stanford Agreement) with the Board of Trustees of Leland Stanford Junior University (Stanford). Pursuant to the terms of the Stanford Agreement, as amended in April 2025, the Company acquired worldwide development and commercial rights to a fusion protein in preclinical development referred to as VT-109, with therapeutic potential in B cell mediated diseases, in exchange for license issue fees of $0.8 million, annual license maintenance fees, and potential future license fees, milestone payments and royalties if the compound advances to certain clinical development and commercial milestones.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financial reporting purposes, loss before provision for income taxes includes the following components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736"/>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Taxes Paid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presents income taxes paid, net of refunds received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4733" w:type="dxa"/>
        <w:jc w:val="left"/>
        <w:tblInd w:w="0" w:type="dxa"/>
        <w:tblLayout w:type="fixed"/>
        <w:tblCellMar>
          <w:top w:w="28" w:type="dxa"/>
          <w:left w:w="28" w:type="dxa"/>
          <w:bottom w:w="28" w:type="dxa"/>
          <w:right w:w="28" w:type="dxa"/>
        </w:tblCellMar>
      </w:tblPr>
      <w:tblGrid>
        <w:gridCol w:w="2071"/>
        <w:gridCol w:w="146"/>
        <w:gridCol w:w="211"/>
        <w:gridCol w:w="316"/>
        <w:gridCol w:w="146"/>
        <w:gridCol w:w="146"/>
        <w:gridCol w:w="211"/>
        <w:gridCol w:w="346"/>
        <w:gridCol w:w="146"/>
        <w:gridCol w:w="146"/>
        <w:gridCol w:w="211"/>
        <w:gridCol w:w="346"/>
        <w:gridCol w:w="2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New Jersey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and deferred provision for income taxes was de minimis for the years ended December 31, 2025, 2024, and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provision for income taxes computed using the U.S. statutory federal income tax rate compared to the income tax provision included in the statement of operations and comprehensive loss 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1"/>
        <w:gridCol w:w="146"/>
        <w:gridCol w:w="211"/>
        <w:gridCol w:w="736"/>
        <w:gridCol w:w="166"/>
        <w:gridCol w:w="146"/>
        <w:gridCol w:w="146"/>
        <w:gridCol w:w="631"/>
        <w:gridCol w:w="271"/>
        <w:gridCol w:w="146"/>
        <w:gridCol w:w="211"/>
        <w:gridCol w:w="736"/>
        <w:gridCol w:w="166"/>
        <w:gridCol w:w="146"/>
        <w:gridCol w:w="146"/>
        <w:gridCol w:w="631"/>
        <w:gridCol w:w="271"/>
        <w:gridCol w:w="146"/>
        <w:gridCol w:w="211"/>
        <w:gridCol w:w="736"/>
        <w:gridCol w:w="166"/>
        <w:gridCol w:w="146"/>
        <w:gridCol w:w="146"/>
        <w:gridCol w:w="631"/>
        <w:gridCol w:w="41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U.S. statutory rate on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Nontaxzable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 research &amp;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2024, and 2023, state and local income taxes in California comprise the majority of the state and local income taxes, net of federal effect category.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net deferred tax assets and liabilities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4136"/>
        <w:gridCol w:w="146"/>
        <w:gridCol w:w="211"/>
        <w:gridCol w:w="841"/>
        <w:gridCol w:w="166"/>
        <w:gridCol w:w="146"/>
        <w:gridCol w:w="211"/>
        <w:gridCol w:w="841"/>
        <w:gridCol w:w="166"/>
        <w:gridCol w:w="146"/>
        <w:gridCol w:w="211"/>
        <w:gridCol w:w="736"/>
        <w:gridCol w:w="31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 and state 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research &amp;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 of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has federal and state net operating loss carryforwards of $389.9 million and $42.3 million, respectively, of which $10.2 million of federal net operating loss carryforwards and $37.0 million of state net operating carryforwards will begin expiring in the year 2032 and 2036, respectively, if not utilized. The Company also has $379.6 million of federal net operating loss carryforwards as of December 31, 2025 that do not expire. The Company has $8.6 million of federal research and development tax credit carryforwards, which begin to expire in the year 2037. The Company has $4.3 million of state research and development tax credit carryforwards, which have no expiration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Utilization of the federal and state net operating loss and tax credit carryforwards may be subject to a substantial annual limitation due to the “change in ownership” provisions of the Internal Revenue Code of 1986. The annual limitation may result in the expiration of net operating losses and credits before utilization. The Company has not performed an analysis to determine if such ownership changes have occurred. An analysis will be performed prior to recognizing the benefits of any losses or credits in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assesses the available positive and negative evidence to estimate if sufficient future taxable income will be generated to use the existing deferred tax assets. Based on the weight of all evidence including a history of operating losses, management has determined that it is not more likely than not that the net deferred tax assets will be realized. A valuation allowance of $172.3 million and $106.9 million as of December 31, 2025 and 2024, respectively, has been established to offset the deferred tax assets as realization of such assets is uncertain.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123" w:type="dxa"/>
        <w:jc w:val="left"/>
        <w:tblInd w:w="0" w:type="dxa"/>
        <w:tblLayout w:type="fixed"/>
        <w:tblCellMar>
          <w:top w:w="28" w:type="dxa"/>
          <w:left w:w="28" w:type="dxa"/>
          <w:bottom w:w="28" w:type="dxa"/>
          <w:right w:w="28" w:type="dxa"/>
        </w:tblCellMar>
      </w:tblPr>
      <w:tblGrid>
        <w:gridCol w:w="4211"/>
        <w:gridCol w:w="146"/>
        <w:gridCol w:w="211"/>
        <w:gridCol w:w="781"/>
        <w:gridCol w:w="166"/>
        <w:gridCol w:w="146"/>
        <w:gridCol w:w="211"/>
        <w:gridCol w:w="781"/>
        <w:gridCol w:w="146"/>
        <w:gridCol w:w="146"/>
        <w:gridCol w:w="211"/>
        <w:gridCol w:w="676"/>
        <w:gridCol w:w="2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charged to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charged to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Uncertain Tax Benefits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has the following activity relating to the gross amount of unrecognized tax benefits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4706"/>
        <w:gridCol w:w="146"/>
        <w:gridCol w:w="211"/>
        <w:gridCol w:w="571"/>
        <w:gridCol w:w="146"/>
        <w:gridCol w:w="146"/>
        <w:gridCol w:w="211"/>
        <w:gridCol w:w="571"/>
        <w:gridCol w:w="146"/>
        <w:gridCol w:w="146"/>
        <w:gridCol w:w="211"/>
        <w:gridCol w:w="571"/>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prior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2025, 2024, and 2023, no interest or penalties were required to be recognized relating to 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An uncertain tax position will not be recognized if it has less than a 50% likelihood of being sustained. None of these uncertain tax positions will impact the Company’s effective tax rate if assessed. The Company’s policy is to classify interest and penalties associated with unrecognized tax benefits as 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income tax returns in the U.S. and various states. The Company is not currently under examination by any major tax jurisdictions nor has it been in the past. Because of net operating losses and research credit carryovers, substantially all of our tax years remain open to examination. 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there are no actions pending which would have a material adverse effect on its results of operations, financial condition,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did not have any material indemnification claims that were probable or reasonably possible, and consequently no related liabilities have been recorded.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signed employment agreements with certain key employees pursuant to which, if their employment is terminated following a change of control of the Company, the employees are entitled to receive certain benefits, including severance and accelerated vesting of equity incentives.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Development and Manufacturing Services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development and manufacturing contracts with vendors in the conduct of its business. Contracts with these vendors may be terminated at the Company’s option, with varying provisions regarding termination. If a contract with a specific vendor were to be terminated, the Company would be obligated to pay for the products or services that had been provided or received at the time the termination became effective, and potentially additional compensation based upon the period of time remaining between the date of notice of cancellation and the scheduled manufacturing.</w:t>
      </w:r>
    </w:p>
    <w:p>
      <w:pPr>
        <w:pStyle w:val="TextBody"/>
        <w:bidi w:val="0"/>
        <w:spacing w:before="360" w:after="283"/>
        <w:jc w:val="left"/>
        <w:rPr>
          <w:rFonts w:ascii="Times New Roman" w:hAnsi="Times New Roman"/>
          <w:sz w:val="20"/>
        </w:rPr>
      </w:pPr>
      <w:r>
        <w:rPr>
          <w:rFonts w:ascii="Times New Roman" w:hAnsi="Times New Roman"/>
          <w:b/>
          <w:color w:val="000000"/>
          <w:sz w:val="20"/>
        </w:rPr>
        <w:t>12.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shares were excluded from the computation of diluted net loss per share attributable to common stockholders for the periods presented, because including them would have been anti-dilutive (on an as-converted basis).</w:t>
      </w:r>
    </w:p>
    <w:p>
      <w:pPr>
        <w:pStyle w:val="TextBody"/>
        <w:bidi w:val="0"/>
        <w:spacing w:before="120" w:after="283"/>
        <w:jc w:val="left"/>
        <w:rPr/>
      </w:pPr>
      <w:r>
        <w:rPr/>
        <w:t> </w:t>
      </w:r>
    </w:p>
    <w:tbl>
      <w:tblPr>
        <w:tblW w:w="8803"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931"/>
        <w:gridCol w:w="146"/>
        <w:gridCol w:w="146"/>
        <w:gridCol w:w="146"/>
        <w:gridCol w:w="931"/>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but unsettled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10,024,663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5,894,144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Sofinnova Venture Partners X, L.P. (SVP X) is an investment fund in which Maha Katabi (Dr. Katabi), a member of the Company’s board of directors, has a pecuniary interest. SVP X completed transactions in the Company’s common stock within a six-month period ended March 25, 2024. The transactions included both purchases and sales of shares of the Company’s common stock that may be matchable for purposes of Section 16(b) of the Securities Exchange Act of 1934, as amended. A complaint filed in October 2024 in a legal action pending in the U.S. District Court for the Southern District of New York in the case captioned </w:t>
      </w:r>
      <w:r>
        <w:rPr>
          <w:rFonts w:ascii="Times New Roman" w:hAnsi="Times New Roman"/>
          <w:i/>
          <w:color w:val="000000"/>
          <w:sz w:val="20"/>
        </w:rPr>
        <w:t>Calenture, LLC et al. v. Sofinnova Venture Partners X, L.P. et al.</w:t>
      </w:r>
      <w:r>
        <w:rPr>
          <w:rFonts w:ascii="Times New Roman" w:hAnsi="Times New Roman"/>
          <w:color w:val="000000"/>
          <w:sz w:val="20"/>
        </w:rPr>
        <w:t>, alleged that SVP X, Sofinnova Management X, L.P., and Sofinnova Management X-A, L.L.C. (collectively, Sofinnova) was liable to the Company for damages in the form of short-swing profits realized from transactions in the Company’s equity securities. In November 2025, the Company entered into a settlement agreement with Sofinnova to settle the legal action, which resulted in a payment by Sofinnova to the Company of $0.5 million in December 2025, which was recorded to additional paid-in capital.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Therapeutics. This segment is dedicated to developing and commercializing transformative treatments for patients with serious immunological diseases. The Company’s lead product candidate, atacicept, is currently being evaluated for the treatment of IgAN and other autoimmune kidney diseases. Atacicept is a native human TACI-Fc fusion protein that binds both the B-cell activating factor (BAFF) and A proliferation-inducing ligand (APRIL) cytokines and is self-administered subcutaneously at home. The Company also holds worldwide, exclusive development and commercial rights to MAU868, a monoclonal antibody to treat BKV infections for which the Company completed a Phase 2 clinical trial in 2022, and worldwide, exclusive development and commercial rights to VT-109, a novel, next generation dual BAFF/APRIL inhibitor that is in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substantially all its resources to research and development efforts, pre-clinical studies and clinical trials, building a sales, marketing and distribution infrastructure to support anticipated commercial activities, establishing and maintaining intellectual property portfolio, hiring personnel, raising capital, and providing general and administrative support for these operations. The Company does not have any product candidates approved for commercial sale and has not generated any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used in the segment reporting are the same as those described in the summary of significant accounting policies (Note 2). The Company’s Chief Operating Decision Maker (CODM) is the Chief Executive Officer. The CODM assesses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for the single reportable segment and decides how to allocate resources based on net loss and total operating expenses. As the Company has not generated any revenue, total operating expenses is equivalent to loss from operations on the statements of operations and comprehensive loss. The measure of segment assets is reported on the balance sheet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net loss as the reportable segment’s primary measure of profit or loss to evaluate the segment’s financial position and to determine the need for additional financing or equity offerings. The CODM also uses total operating expenses as a measure to evaluate controllable spend from total current assets, in deciding how to allocate resources within the Therapeutics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all of the Company’s property and equipment was located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reportable segment total operating expenses (including significant segment expenses) and net loss, consisted of the following (in thousands):</w:t>
      </w:r>
    </w:p>
    <w:tbl>
      <w:tblPr>
        <w:tblW w:w="9233" w:type="dxa"/>
        <w:jc w:val="left"/>
        <w:tblInd w:w="0" w:type="dxa"/>
        <w:tblLayout w:type="fixed"/>
        <w:tblCellMar>
          <w:top w:w="28" w:type="dxa"/>
          <w:left w:w="28" w:type="dxa"/>
          <w:bottom w:w="28" w:type="dxa"/>
          <w:right w:w="28" w:type="dxa"/>
        </w:tblCellMar>
      </w:tblPr>
      <w:tblGrid>
        <w:gridCol w:w="4916"/>
        <w:gridCol w:w="146"/>
        <w:gridCol w:w="211"/>
        <w:gridCol w:w="841"/>
        <w:gridCol w:w="166"/>
        <w:gridCol w:w="146"/>
        <w:gridCol w:w="211"/>
        <w:gridCol w:w="841"/>
        <w:gridCol w:w="166"/>
        <w:gridCol w:w="146"/>
        <w:gridCol w:w="211"/>
        <w:gridCol w:w="841"/>
        <w:gridCol w:w="391"/>
      </w:tblGrid>
      <w:tr>
        <w:trPr/>
        <w:tc>
          <w:tcPr>
            <w:tcW w:w="4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planning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Significant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Expenditures for additions to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segment items included in total operating expenses primarily consist of consulting and contractors, professional services, equipment and software, travel and entertainment, facilities, medical affairs, and corporate communications.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segment items included in loss before provision for income taxes consist of currency exchange gains and losses and other income/expense.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4" w:name="item_9_changes_in_and_disagreements"/>
      <w:bookmarkEnd w:id="2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5" w:name="item_9a_controls_and_procedures"/>
      <w:bookmarkEnd w:id="25"/>
      <w:r>
        <w:rPr>
          <w:rFonts w:ascii="Times New Roman" w:hAnsi="Times New Roman"/>
          <w:b/>
          <w:color w:val="000000"/>
          <w:sz w:val="20"/>
        </w:rPr>
        <w:t>Item 9A.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(our principal executive officer and principal financial officer, respectively), have evaluated our disclosure controls and procedures (as defined in Rules 13a-15(e) and 15d-15(e) under the Exchange Act) as of the end of the period covered by this Annual Report. Based on that evaluation, our Chief Executive Officer and our Chief Financial Officer have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Exchange Act Rules 13a-15(f) and 15d-15(f).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our Chief Financial Officer, our management conducted an evaluation of the effectiveness of our internal control over financial reporting as of December 31, 2025 based on the criteria set forth in “Internal Control—Integrated Framework” (2013) issued by the Committee of Sponsoring Organizations of the Treadway Commission. Based on that evaluation, our management concluded that the Company’s internal control over financial reporting was effective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2025 has been audited by KPMG LLP, an independent registered public accounting firm, and they have issued an attestation report on our internal control over financial reporting, which appears in this Annual Report on Form 10-K.</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 13a-15(f) and 15d-15(f) of the Exchange Act) during the quarter ended December 31, 2025 that have materially affected, or are reasonably likely to materially affect, the Company’s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of internal controls, misstatements due to error or fraud may occur and not be detected.</w:t>
      </w:r>
    </w:p>
    <w:p>
      <w:pPr>
        <w:pStyle w:val="TextBody"/>
        <w:bidi w:val="0"/>
        <w:spacing w:before="360" w:after="283"/>
        <w:jc w:val="left"/>
        <w:rPr>
          <w:rFonts w:ascii="Times New Roman" w:hAnsi="Times New Roman"/>
          <w:b/>
          <w:color w:val="000000"/>
          <w:sz w:val="20"/>
        </w:rPr>
      </w:pPr>
      <w:bookmarkStart w:id="26" w:name="item_9b_other_information"/>
      <w:bookmarkEnd w:id="26"/>
      <w:r>
        <w:rPr>
          <w:rFonts w:ascii="Times New Roman" w:hAnsi="Times New Roman"/>
          <w:b/>
          <w:color w:val="000000"/>
          <w:sz w:val="20"/>
        </w:rPr>
        <w:t>Item 9B. Other Information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The following table describes for the quarterly period covered by this report each trading arrangement for the purchase or sale of Company securities adopted, modified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2"/>
        <w:gridCol w:w="1230"/>
        <w:gridCol w:w="886"/>
        <w:gridCol w:w="1160"/>
        <w:gridCol w:w="779"/>
        <w:gridCol w:w="740"/>
        <w:gridCol w:w="1593"/>
        <w:gridCol w:w="1716"/>
        <w:gridCol w:w="1209"/>
      </w:tblGrid>
      <w:tr>
        <w:trPr/>
        <w:tc>
          <w:tcPr>
            <w:tcW w:w="89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8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123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8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16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59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71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20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r>
      <w:tr>
        <w:trPr/>
        <w:tc>
          <w:tcPr>
            <w:tcW w:w="89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2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160"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Adoption/ Termination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7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740"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5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Sold***</w:t>
            </w:r>
          </w:p>
        </w:tc>
        <w:tc>
          <w:tcPr>
            <w:tcW w:w="17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Purchased</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89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Turner</w:t>
            </w:r>
          </w:p>
        </w:tc>
        <w:tc>
          <w:tcPr>
            <w:tcW w:w="12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Regulatory Officer</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1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23, 2025</w:t>
            </w:r>
          </w:p>
        </w:tc>
        <w:tc>
          <w:tcPr>
            <w:tcW w:w="7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7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5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7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Represents the maximum number of shares that may be sold pursuant to the 10b5-1 trading arrangement. The number of shares to be sold is dependent on the satisfaction of certain conditions as set forth in the written plan.</w:t>
            </w:r>
          </w:p>
        </w:tc>
      </w:tr>
    </w:tbl>
    <w:p>
      <w:pPr>
        <w:pStyle w:val="TextBody"/>
        <w:bidi w:val="0"/>
        <w:spacing w:before="360" w:after="283"/>
        <w:jc w:val="left"/>
        <w:rPr>
          <w:rFonts w:ascii="Times New Roman" w:hAnsi="Times New Roman"/>
          <w:b/>
          <w:color w:val="000000"/>
          <w:sz w:val="20"/>
        </w:rPr>
      </w:pPr>
      <w:bookmarkStart w:id="27" w:name="item_9c_disclosure_regarding_foreign_jur"/>
      <w:bookmarkEnd w:id="27"/>
      <w:r>
        <w:rPr>
          <w:rFonts w:ascii="Times New Roman" w:hAnsi="Times New Roman"/>
          <w:b/>
          <w:color w:val="000000"/>
          <w:sz w:val="20"/>
        </w:rPr>
        <w:t>Item 9C. Disclosure Regarding Foreign Jurisdictions that Prevent Inspections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8" w:name="item_10_directors_executive_officers"/>
      <w:bookmarkEnd w:id="28"/>
      <w:r>
        <w:rPr>
          <w:rFonts w:ascii="Times New Roman" w:hAnsi="Times New Roman"/>
          <w:b/>
          <w:color w:val="000000"/>
          <w:sz w:val="20"/>
        </w:rPr>
        <w:t>Item 10. Directors, Executive Officers and Corporate Governance.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to be filed with the Securities and Exchange Commission in connection with our 2026 Annual Meeting of Stockholders (Definitive Proxy Statement), which is expected to be filed not later than 120 days after the end of our fiscal year ended December 31, 2025 and is incorporated herein by reference.</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maintain a Code of Business Conduct and Ethics (Code of Conduct) that applies to all our employees, officers, directors, and contractors. This includes our principal executive officer, principal financial officer, principal accounting officer or controller, or persons performing similar functions. The full text of our Code of Conduct is posted on our website at https://ir.veratx.com/corporate-governance/governance-highlights. If we make any substantive amendments to the Code of Conduct or grant any waiver from a provision of the Code of Conduct to any executive officer or director that are required to be disclosed pursuant to SEC rules, we will promptly disclose the nature of the amendment or waiver on our website or in a current report on Form 8-K.</w:t>
      </w:r>
    </w:p>
    <w:p>
      <w:pPr>
        <w:pStyle w:val="TextBody"/>
        <w:bidi w:val="0"/>
        <w:spacing w:before="24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and is incorporated herein by reference.</w:t>
      </w:r>
    </w:p>
    <w:p>
      <w:pPr>
        <w:pStyle w:val="TextBody"/>
        <w:bidi w:val="0"/>
        <w:spacing w:before="360" w:after="283"/>
        <w:jc w:val="left"/>
        <w:rPr>
          <w:rFonts w:ascii="Times New Roman" w:hAnsi="Times New Roman"/>
          <w:b/>
          <w:color w:val="000000"/>
          <w:sz w:val="20"/>
        </w:rPr>
      </w:pPr>
      <w:bookmarkStart w:id="30" w:name="item_12_security_ownership"/>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and is incorporated herein by reference.</w:t>
      </w:r>
    </w:p>
    <w:p>
      <w:pPr>
        <w:pStyle w:val="TextBody"/>
        <w:bidi w:val="0"/>
        <w:spacing w:before="360" w:after="283"/>
        <w:jc w:val="left"/>
        <w:rPr>
          <w:rFonts w:ascii="Times New Roman" w:hAnsi="Times New Roman"/>
          <w:b/>
          <w:color w:val="000000"/>
          <w:sz w:val="20"/>
        </w:rPr>
      </w:pPr>
      <w:bookmarkStart w:id="31" w:name="item_13_certain_relationships"/>
      <w:bookmarkEnd w:id="3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and is incorporated herein by reference.</w:t>
      </w:r>
    </w:p>
    <w:p>
      <w:pPr>
        <w:pStyle w:val="TextBody"/>
        <w:bidi w:val="0"/>
        <w:spacing w:before="360" w:after="283"/>
        <w:jc w:val="left"/>
        <w:rPr>
          <w:rFonts w:ascii="Times New Roman" w:hAnsi="Times New Roman"/>
          <w:b/>
          <w:color w:val="000000"/>
          <w:sz w:val="20"/>
        </w:rPr>
      </w:pPr>
      <w:bookmarkStart w:id="32" w:name="item_14_principal_accounting_fees"/>
      <w:bookmarkEnd w:id="32"/>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and is incorporated herein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33" w:name="item_15_exhibits_financial_statement_1"/>
      <w:bookmarkEnd w:id="33"/>
      <w:r>
        <w:rPr>
          <w:rFonts w:ascii="Times New Roman" w:hAnsi="Times New Roman"/>
          <w:b/>
          <w:color w:val="000000"/>
          <w:sz w:val="20"/>
        </w:rPr>
        <w:t>Item 15. Exhibit and Financial Statement Schedules.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filed the following documents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financial statements filed as part of this Annual Report are included in Part II, Item 8 of this Annual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schedules have been omitted because they are not required, not applicable, not present in amounts sufficient to require submission of the schedule, or the required information is otherwise included.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exhibits listed in the accompanying Exhibit Index are filed as part of, or incorporated by reference into, this Annual Report.</w:t>
      </w:r>
    </w:p>
    <w:p>
      <w:pPr>
        <w:pStyle w:val="TextBody"/>
        <w:bidi w:val="0"/>
        <w:jc w:val="left"/>
        <w:rPr/>
      </w:pPr>
      <w:r>
        <w:rPr/>
        <w:t> </w:t>
      </w:r>
    </w:p>
    <w:p>
      <w:pPr>
        <w:pStyle w:val="TextBody"/>
        <w:bidi w:val="0"/>
        <w:jc w:val="left"/>
        <w:rPr>
          <w:rFonts w:ascii="Times New Roman" w:hAnsi="Times New Roman"/>
          <w:b/>
          <w:color w:val="000000"/>
          <w:sz w:val="20"/>
        </w:rPr>
      </w:pPr>
      <w:bookmarkStart w:id="34" w:name="item_16_form_10k_summary_1"/>
      <w:bookmarkEnd w:id="34"/>
      <w:r>
        <w:rPr>
          <w:rFonts w:ascii="Times New Roman" w:hAnsi="Times New Roman"/>
          <w:b/>
          <w:color w:val="000000"/>
          <w:sz w:val="20"/>
        </w:rPr>
        <w:t>Item 16. Form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362"/>
        <w:gridCol w:w="9137"/>
      </w:tblGrid>
      <w:tr>
        <w:trPr/>
        <w:tc>
          <w:tcPr>
            <w:tcW w:w="7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137"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36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2.1^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Asset Purchase Agreement between the Registrant and Amplyx Pharmaceuticals, Inc. dated December 16, 2021 (incorporated by reference to Exhibit 10.15 to the Registrant’s Registration Statement on Form S-1, filed with the SEC on February 7, 2022).</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9">
              <w:r>
                <w:rPr>
                  <w:rStyle w:val="InternetLink"/>
                  <w:rFonts w:ascii="Times New Roman" w:hAnsi="Times New Roman"/>
                  <w:color w:val="0000FF"/>
                  <w:sz w:val="18"/>
                  <w:u w:val="single"/>
                </w:rPr>
                <w:t>Amended and Restated Certificate of Incorporation of the Registrant (incorporated by reference to Exhibit 3.1 to the Registrant’s Current Report on Form 8-K, filed with the SEC on May 18, 2021).</w:t>
              </w:r>
            </w:hyperlink>
            <w:hyperlink r:id="rId20">
              <w:r>
                <w:rPr>
                  <w:rStyle w:val="InternetLink"/>
                  <w:rFonts w:ascii="Times New Roman" w:hAnsi="Times New Roman"/>
                  <w:color w:val="0000FF"/>
                  <w:sz w:val="18"/>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1">
              <w:r>
                <w:rPr>
                  <w:rStyle w:val="InternetLink"/>
                  <w:rFonts w:ascii="Times New Roman" w:hAnsi="Times New Roman"/>
                  <w:color w:val="0000FF"/>
                  <w:sz w:val="18"/>
                  <w:u w:val="single"/>
                </w:rPr>
                <w:t>Amended and Restated Bylaws of the Registrant (incorporated by reference to Exhibit 3.2 to the Registrant’s Current Report on Form 8-K, filed with the SEC on May 18,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4.1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2">
              <w:r>
                <w:rPr>
                  <w:rStyle w:val="InternetLink"/>
                  <w:rFonts w:ascii="Times New Roman" w:hAnsi="Times New Roman"/>
                  <w:color w:val="0000FF"/>
                  <w:sz w:val="18"/>
                  <w:u w:val="single"/>
                </w:rPr>
                <w:t>Form of Class A Common Stock Certificate (incorporated by reference to Exhibit 4.1 to the Registrant’s Registration Statement on Form S-1, as amended, filed with the SEC on May 10, 2021).</w:t>
              </w:r>
            </w:hyperlink>
            <w:hyperlink r:id="rId23">
              <w:r>
                <w:rPr>
                  <w:rStyle w:val="InternetLink"/>
                  <w:rFonts w:ascii="Times New Roman" w:hAnsi="Times New Roman"/>
                  <w:color w:val="0000FF"/>
                  <w:sz w:val="18"/>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4.2</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4">
              <w:r>
                <w:rPr>
                  <w:rStyle w:val="InternetLink"/>
                  <w:rFonts w:ascii="Times New Roman" w:hAnsi="Times New Roman"/>
                  <w:color w:val="0000FF"/>
                  <w:sz w:val="18"/>
                  <w:u w:val="single"/>
                </w:rPr>
                <w:t>Second Amended and Restated Investors’ Rights Agreement, by and among the Registrant and certain of its stockholders, dated October 29, 2020 (incorporated by reference to Exhibit 4.2 to the Registrant’s Registration Statement on Form S-1, as amended, filed with the SEC on April 23, 2021).</w:t>
              </w:r>
            </w:hyperlink>
            <w:hyperlink r:id="rId25">
              <w:r>
                <w:rPr>
                  <w:rStyle w:val="InternetLink"/>
                  <w:rFonts w:ascii="Times New Roman" w:hAnsi="Times New Roman"/>
                  <w:color w:val="0000FF"/>
                  <w:sz w:val="18"/>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4.3</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6">
              <w:r>
                <w:rPr>
                  <w:rStyle w:val="InternetLink"/>
                  <w:rFonts w:ascii="Times New Roman" w:hAnsi="Times New Roman"/>
                  <w:color w:val="0000FF"/>
                  <w:sz w:val="18"/>
                  <w:u w:val="single"/>
                </w:rPr>
                <w:t>Description of Common Stock of the Registrant (incorporated by reference to Exhibit 4.3 to the Registrant’s Annual Report on Form 10-K, filed with the SEC on March 27, 2024).</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7">
              <w:r>
                <w:rPr>
                  <w:rStyle w:val="InternetLink"/>
                  <w:rFonts w:ascii="Times New Roman" w:hAnsi="Times New Roman"/>
                  <w:color w:val="0000FF"/>
                  <w:sz w:val="18"/>
                  <w:u w:val="single"/>
                </w:rPr>
                <w:t>Vera Therapeutics, Inc. 2017 Equity Incentive Plan (incorporated by reference to Exhibit 10.1 to the Registrant’s Registration Statement on Form S-1, filed with the SEC on April 23,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10.2</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8">
              <w:r>
                <w:rPr>
                  <w:rStyle w:val="InternetLink"/>
                  <w:rFonts w:ascii="Times New Roman" w:hAnsi="Times New Roman"/>
                  <w:color w:val="0000FF"/>
                  <w:sz w:val="18"/>
                  <w:u w:val="single"/>
                </w:rPr>
                <w:t>Forms of Grant Notice, Stock Option Agreement and Notice of Exercise under the Vera Therapeutics, Inc. 2017 Equity Incentive Plan (incorporated by reference to Exhibit 10.2 to the Registrant’s Registration Statements on Form S-1, filed with the SEC on April 23,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10.3</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9">
              <w:r>
                <w:rPr>
                  <w:rStyle w:val="InternetLink"/>
                  <w:rFonts w:ascii="Times New Roman" w:hAnsi="Times New Roman"/>
                  <w:color w:val="0000FF"/>
                  <w:sz w:val="18"/>
                  <w:u w:val="single"/>
                </w:rPr>
                <w:t>Vera Therapeutics, Inc 2021 Equity Incentive Plan (incorporated by reference to Exhibit 10.3 to the Registrant’s Registration Statement on Form S-1, filed with the SEC on May 10,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10.4</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0">
              <w:r>
                <w:rPr>
                  <w:rStyle w:val="InternetLink"/>
                  <w:rFonts w:ascii="Times New Roman" w:hAnsi="Times New Roman"/>
                  <w:color w:val="0000FF"/>
                  <w:sz w:val="18"/>
                  <w:u w:val="single"/>
                </w:rPr>
                <w:t>Forms of Stock Option Grant Notice, Stock Option Agreement and Notice of Exercise under the Vera Therapeutics, Inc 2021 Equity Incentive Plan (incorporated by reference to Exhibit 10.4 to the Registrant’s Registration Statement on Form S-1, filed with the SEC on May 10,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10.5</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1">
              <w:r>
                <w:rPr>
                  <w:rStyle w:val="InternetLink"/>
                  <w:rFonts w:ascii="Times New Roman" w:hAnsi="Times New Roman"/>
                  <w:color w:val="0000FF"/>
                  <w:sz w:val="18"/>
                  <w:u w:val="single"/>
                </w:rPr>
                <w:t>Forms of Restricted Stock Unit Grant Notice and Award Agreement under the Vera Therapeutics, Inc. 2021 Equity Incentive Plan (incorporated by reference to Exhibit 10.5 to the Registrant’s Registration Statement on Form S-1, filed with the SEC on May 10,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10.6</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2">
              <w:r>
                <w:rPr>
                  <w:rStyle w:val="InternetLink"/>
                  <w:rFonts w:ascii="Times New Roman" w:hAnsi="Times New Roman"/>
                  <w:color w:val="0000FF"/>
                  <w:sz w:val="18"/>
                  <w:u w:val="single"/>
                </w:rPr>
                <w:t>Vera Therapeutics, Inc. 2021 Employee Stock Purchase Plan (incorporated by reference to Exhibit 10.6 to the Registrant’s Registration Statement on Form S-1, filed with the SEC on May 10, 2021).</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10.7</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3">
              <w:r>
                <w:rPr>
                  <w:rStyle w:val="InternetLink"/>
                  <w:rFonts w:ascii="Times New Roman" w:hAnsi="Times New Roman"/>
                  <w:color w:val="0000FF"/>
                  <w:sz w:val="18"/>
                  <w:u w:val="single"/>
                </w:rPr>
                <w:t>Vera Therapeutics, Inc. 2024 Inducement Plan, as amended September 19, 2025 (incorporated by reference to Exhibit 10.1 to the Registrant’s Quarterly Report on Form 10-Q, filed with the SEC on November 5, 2025).</w:t>
              </w:r>
            </w:hyperlink>
          </w:p>
        </w:tc>
      </w:tr>
      <w:tr>
        <w:trPr/>
        <w:tc>
          <w:tcPr>
            <w:tcW w:w="70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362"/>
        <w:gridCol w:w="9008"/>
      </w:tblGrid>
      <w:tr>
        <w:trPr/>
        <w:tc>
          <w:tcPr>
            <w:tcW w:w="8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10.8</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4">
              <w:r>
                <w:rPr>
                  <w:rStyle w:val="InternetLink"/>
                  <w:rFonts w:ascii="Times New Roman" w:hAnsi="Times New Roman"/>
                  <w:color w:val="0000FF"/>
                  <w:sz w:val="18"/>
                  <w:u w:val="single"/>
                </w:rPr>
                <w:t>Forms of Stock Option Grant Notice, Stock Option Agreement and Notice of Exercise under the Vera Therapeutics, Inc. 2024 Inducement Plan (incorporated by reference to Exhibit 10.8 to the Registrant’s Annual Report on Form 10-K, filed with the SEC on March 27, 2024).</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10.9</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5">
              <w:r>
                <w:rPr>
                  <w:rStyle w:val="InternetLink"/>
                  <w:rFonts w:ascii="Times New Roman" w:hAnsi="Times New Roman"/>
                  <w:color w:val="0000FF"/>
                  <w:sz w:val="18"/>
                  <w:u w:val="single"/>
                </w:rPr>
                <w:t>Form of Restricted Stock Unit Grant Notice and Award Agreement under the Vera Therapeutics, Inc. 2024 Inducement Plan (incorporated by reference to Exhibit 10.9 to the Registrant’s Annual Report on Form 10-K, filed with the SEC on March 27, 2024).</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10.10</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vera-ex10_10.htm">
              <w:r>
                <w:rPr>
                  <w:rStyle w:val="InternetLink"/>
                  <w:rFonts w:ascii="Times New Roman" w:hAnsi="Times New Roman"/>
                  <w:color w:val="0000FF"/>
                  <w:sz w:val="18"/>
                  <w:u w:val="single"/>
                </w:rPr>
                <w:t>Vera Therapeutics, Inc. Non-employee Director Compensation Policy, as amended on December 16, 2025.</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10.11</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6">
              <w:r>
                <w:rPr>
                  <w:rStyle w:val="InternetLink"/>
                  <w:rFonts w:ascii="Times New Roman" w:hAnsi="Times New Roman"/>
                  <w:color w:val="0000FF"/>
                  <w:sz w:val="18"/>
                  <w:u w:val="single"/>
                </w:rPr>
                <w:t>Form of Indemnification Agreement by and between the Registrant and its directors and executive officers (incorporated by reference to Exhibit 10.8 to the Registrant’s Registration Statement on Form S-1, filed with the SEC on May 10, 2021).</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10.12</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7">
              <w:r>
                <w:rPr>
                  <w:rStyle w:val="InternetLink"/>
                  <w:rFonts w:ascii="Times New Roman" w:hAnsi="Times New Roman"/>
                  <w:color w:val="0000FF"/>
                  <w:sz w:val="18"/>
                  <w:u w:val="single"/>
                </w:rPr>
                <w:t>Amended and Restated Offer Letter by and between the Registrant and Marshall Fordyce, M.D., dated May 7, 2021 (incorporated by reference to Exhibit 10.9 to the Registrant’s Registration Statement on Form S-1, filed with the SEC on May 10, 2021).</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10.13</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8">
              <w:r>
                <w:rPr>
                  <w:rStyle w:val="InternetLink"/>
                  <w:rFonts w:ascii="Times New Roman" w:hAnsi="Times New Roman"/>
                  <w:color w:val="0000FF"/>
                  <w:sz w:val="18"/>
                  <w:u w:val="single"/>
                </w:rPr>
                <w:t>Offer Letter, by and between the Registrant and Sean P. Grant, dated May 30, 2021 (incorporated by reference to Exhibit 10.1 the Registrant’s Current Report on Form 8-K, filed with the SEC on July 14, 2021).</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10.14^</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9">
              <w:r>
                <w:rPr>
                  <w:rStyle w:val="InternetLink"/>
                  <w:rFonts w:ascii="Times New Roman" w:hAnsi="Times New Roman"/>
                  <w:color w:val="0000FF"/>
                  <w:sz w:val="18"/>
                  <w:u w:val="single"/>
                </w:rPr>
                <w:t>License Agreement by and between the Registrant and Ares Trading S.A., dated as of October 29, 2020 (incorporated by reference to Exhibit 10.15 to the Registrant’s Registration Statement on Form S-1, filed with the SEC on April 23, 2021).</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10.15¥^</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0">
              <w:r>
                <w:rPr>
                  <w:rStyle w:val="InternetLink"/>
                  <w:rFonts w:ascii="Times New Roman" w:hAnsi="Times New Roman"/>
                  <w:color w:val="0000FF"/>
                  <w:sz w:val="18"/>
                  <w:u w:val="single"/>
                </w:rPr>
                <w:t>License Agreement between Novartis International Pharmaceuticals AG and Amplyx Pharmaceuticals, Inc. dated August 26, 2019 (incorporated by reference to Exhibit 10.16 to the Registrant’s Registration Statement on Form S-1, filed with the SEC on February 7, 2022).</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10.16^</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1">
              <w:r>
                <w:rPr>
                  <w:rStyle w:val="InternetLink"/>
                  <w:rFonts w:ascii="Times New Roman" w:hAnsi="Times New Roman"/>
                  <w:color w:val="0000FF"/>
                  <w:sz w:val="18"/>
                  <w:u w:val="single"/>
                </w:rPr>
                <w:t>Amendment No. 1 to License Agreement between Novartis International Pharmaceutics AG and Amplyx Pharmaceuticals, Inc. dated September 24, 2019 (incorporated by reference to Exhibit 10.17 to the Registrant’s Registration Statement on Form S-1, filed with the SEC on February 7, 2022).</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10.17^</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2">
              <w:r>
                <w:rPr>
                  <w:rStyle w:val="InternetLink"/>
                  <w:rFonts w:ascii="Times New Roman" w:hAnsi="Times New Roman"/>
                  <w:color w:val="0000FF"/>
                  <w:sz w:val="18"/>
                  <w:u w:val="single"/>
                </w:rPr>
                <w:t>Amendment to License Agreement, by and between the Registrant and Novartis Pharma AG, dated September 9, 2022 (incorporated by reference to Exhibit 10.1 to the Registrant’s Current Report on Form 8-K, filed with the SEC on September 9, 2022).</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10.18</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18"/>
                  <w:u w:val="single"/>
                </w:rPr>
                <w:t>Offer Letter, by and between the Registrant and David Johnson, dated June 26, 2024 (incorporated by reference to Exhibit 10.1 to the Registrant’s Current Report on Form 8-K, filed with the SEC on July 2, 2024)</w:t>
              </w:r>
            </w:hyperlink>
            <w:r>
              <w:rPr>
                <w:rFonts w:ascii="Times New Roman" w:hAnsi="Times New Roman"/>
                <w:color w:val="000000"/>
                <w:sz w:val="18"/>
              </w:rPr>
              <w:t>.</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10.19</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18"/>
                  <w:u w:val="single"/>
                </w:rPr>
                <w:t>Offer Letter, by and between the Registrant and Robert Brenner, M.D., dated January 3, 2024 (incorporated by reference to Exhibit 10.2 to the Registrant’s Quarterly Report on Form 10-Q, filed with the SEC on May 9, 2024).</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10.20</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18"/>
                  <w:u w:val="single"/>
                </w:rPr>
                <w:t>Offer Letter, by and between the Registrant and William Turner, dated December 19, 2023 (incorporated by reference to Exhibit 10.3 to the Registrant’s Quarterly Report on Form 10-Q, filed with the SEC on May 9, 2024).</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10.21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18"/>
                  <w:u w:val="single"/>
                </w:rPr>
                <w:t>Loan and Security Agreement between Vera Therapeutics, Inc. and Oxford Finance LLC, as collateral agent, and certain lenders including Oxford Finance Credit Fund II LP, Oxford Finance Credit Fund III LP, and Oxford Finance Credit Fund IV LP and the other parties thereto, dated June 2, 2025 (incorporated by reference to Exhibit 10.1 to the Registrant’s Current Report on Form 8-K, filed with the SEC on June 3, 2025).</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sz w:val="20"/>
              </w:rPr>
            </w:pPr>
            <w:r>
              <w:rPr>
                <w:rFonts w:ascii="Times New Roman" w:hAnsi="Times New Roman"/>
                <w:color w:val="000000"/>
                <w:sz w:val="18"/>
              </w:rPr>
              <w:t>10.22</w:t>
            </w:r>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18"/>
                  <w:u w:val="single"/>
                </w:rPr>
                <w:t>Sales Agreement, dated August 5, 2025, by and between Vera Therapeutics, Inc. and TD Securities (USA) LLC (incorporated by reference to Exhibit 1.1 to the Registrant’s Current Report on Form 8-K filed with the SEC on August 5, 2025.</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19.1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18"/>
                  <w:u w:val="single"/>
                </w:rPr>
                <w:t>Vera Therapeutics, Inc. Insider Trading Policy (incorporated by reference to Exhibit 19.1 to the Registrant’s Annual Report on Form 10-K, filed with the SEC on February 28, 2025).</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23.1*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w:anchor="vera-ex23_1.htm">
              <w:r>
                <w:rPr>
                  <w:rStyle w:val="InternetLink"/>
                  <w:rFonts w:ascii="Times New Roman" w:hAnsi="Times New Roman"/>
                  <w:color w:val="0000FF"/>
                  <w:sz w:val="18"/>
                  <w:u w:val="single"/>
                </w:rPr>
                <w:t>Consent of Independent Registered Public Accounting Firm</w:t>
              </w:r>
            </w:hyperlink>
            <w:r>
              <w:rPr>
                <w:rFonts w:ascii="Times New Roman" w:hAnsi="Times New Roman"/>
                <w:color w:val="000000"/>
                <w:sz w:val="18"/>
              </w:rPr>
              <w:t>.</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w:anchor="vera-ex31_1.htm">
              <w:r>
                <w:rPr>
                  <w:rStyle w:val="InternetLink"/>
                  <w:rFonts w:ascii="Times New Roman" w:hAnsi="Times New Roman"/>
                  <w:color w:val="0000FF"/>
                  <w:sz w:val="18"/>
                  <w:u w:val="single"/>
                </w:rPr>
                <w:t>Certification of Principal Executive Officer pursuant to Rules 13a-14(a) and 15d-14(a) under the Securities Exchange Act of 1934, as amended, as adopted pursuant to Section 302 of the Sarbanes-Oxley Act of 2002.</w:t>
              </w:r>
            </w:hyperlink>
            <w:r>
              <w:rPr>
                <w:rFonts w:ascii="Times New Roman" w:hAnsi="Times New Roman"/>
                <w:color w:val="000000"/>
                <w:sz w:val="18"/>
              </w:rPr>
              <w:t xml:space="preserve">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31.2*</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w:anchor="vera-ex31_2.htm">
              <w:r>
                <w:rPr>
                  <w:rStyle w:val="InternetLink"/>
                  <w:rFonts w:ascii="Times New Roman" w:hAnsi="Times New Roman"/>
                  <w:color w:val="0000FF"/>
                  <w:sz w:val="18"/>
                  <w:u w:val="single"/>
                </w:rPr>
                <w:t>Certification of Principal Financial Officer pursuant to Rules 13a-14(a) and 15d-14(a) under the Securities Exchange Act of 1934, as amended, as adopted pursuant to Section 302 of the Sarbanes-Oxley Act of 2002.</w:t>
              </w:r>
            </w:hyperlink>
            <w:hyperlink w:anchor="vera-ex31_2.htm">
              <w:r>
                <w:rPr>
                  <w:rStyle w:val="InternetLink"/>
                  <w:rFonts w:ascii="Times New Roman" w:hAnsi="Times New Roman"/>
                  <w:color w:val="0000FF"/>
                  <w:sz w:val="18"/>
                </w:rPr>
                <w:t xml:space="preserve"> </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w:anchor="vera-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hyperlink w:anchor="vera-ex32_1.htm">
              <w:r>
                <w:rPr>
                  <w:rStyle w:val="InternetLink"/>
                  <w:rFonts w:ascii="Times New Roman" w:hAnsi="Times New Roman"/>
                  <w:color w:val="0000FF"/>
                  <w:sz w:val="18"/>
                </w:rPr>
                <w:t xml:space="preserve"> </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32.2*#</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w:anchor="vera-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hyperlink w:anchor="vera-ex32_2.htm">
              <w:r>
                <w:rPr>
                  <w:rStyle w:val="InternetLink"/>
                  <w:rFonts w:ascii="Times New Roman" w:hAnsi="Times New Roman"/>
                  <w:color w:val="0000FF"/>
                  <w:sz w:val="18"/>
                </w:rPr>
                <w:t xml:space="preserve"> </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97.1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18"/>
                  <w:u w:val="single"/>
                </w:rPr>
                <w:t>Vera Therapeutics, Inc. Incentive Compensation Recoupment Policy (incorporated by reference to Exhibit 97.1 to the Registrant’s Annual Report on Form 10-K, filed with the SEC on March 27, 2024).</w:t>
              </w:r>
            </w:hyperlink>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101.INS*</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101.SCH*</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104*</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0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 the cover page interactive data file does not appear in the Interactive Data File because its XBRL tags are embedded within the Inline XBRL document</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Schedules have been omitted pursuant to Item 601(a)(5) of Regulation S-K. The registrant undertakes to furnish supplemental copies of any of the omitted schedules upon request by the SEC.</w:t>
      </w:r>
    </w:p>
    <w:p>
      <w:pPr>
        <w:pStyle w:val="TextBody"/>
        <w:bidi w:val="0"/>
        <w:jc w:val="left"/>
        <w:rPr>
          <w:rFonts w:ascii="Times New Roman" w:hAnsi="Times New Roman"/>
          <w:color w:val="000000"/>
          <w:sz w:val="20"/>
        </w:rPr>
      </w:pPr>
      <w:r>
        <w:rPr>
          <w:rFonts w:ascii="Times New Roman" w:hAnsi="Times New Roman"/>
          <w:color w:val="000000"/>
          <w:sz w:val="20"/>
        </w:rPr>
        <w:t>^ Pursuant to Item 601(b)(10) of Regulation S-K, certain portions of this exhibit (indicated by asterisks) have been omitted.</w:t>
      </w:r>
    </w:p>
    <w:p>
      <w:pPr>
        <w:pStyle w:val="TextBody"/>
        <w:bidi w:val="0"/>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Annual Report on Form 10-K), unless the Registrant specifically incorporates the foregoing information into those documents by reference.</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signature_1"/>
      <w:bookmarkEnd w:id="35"/>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562" w:type="dxa"/>
        <w:jc w:val="left"/>
        <w:tblInd w:w="0" w:type="dxa"/>
        <w:tblLayout w:type="fixed"/>
        <w:tblCellMar>
          <w:top w:w="28" w:type="dxa"/>
          <w:left w:w="28" w:type="dxa"/>
          <w:bottom w:w="28" w:type="dxa"/>
          <w:right w:w="28" w:type="dxa"/>
        </w:tblCellMar>
      </w:tblPr>
      <w:tblGrid>
        <w:gridCol w:w="2086"/>
        <w:gridCol w:w="109"/>
        <w:gridCol w:w="406"/>
        <w:gridCol w:w="396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Vera Therapeutics,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Marshall Fordyce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 Fordyce, M.D.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9100" w:type="dxa"/>
        <w:jc w:val="left"/>
        <w:tblInd w:w="0" w:type="dxa"/>
        <w:tblLayout w:type="fixed"/>
        <w:tblCellMar>
          <w:top w:w="28" w:type="dxa"/>
          <w:left w:w="28" w:type="dxa"/>
          <w:bottom w:w="28" w:type="dxa"/>
          <w:right w:w="28" w:type="dxa"/>
        </w:tblCellMar>
      </w:tblPr>
      <w:tblGrid>
        <w:gridCol w:w="2146"/>
        <w:gridCol w:w="146"/>
        <w:gridCol w:w="5026"/>
        <w:gridCol w:w="146"/>
        <w:gridCol w:w="163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Marshall Fordyce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Marshall Fordyce,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Sean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Young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and 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Joseph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Morrissey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Morrissey,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Cheng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Andrew Cheng,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Enright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Patrick Enright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Kimball Hall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Kimball 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Maha Katabi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Maha Katabi,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Meyers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Meyers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Morrison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Scott Morrison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/s/ Christy Oliger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Christy Oliger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Beth Seidenberg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Beth Seidenberg,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6" w:name="vera-ex10_10.htm"/>
      <w:bookmarkStart w:id="37" w:name="ksveraex10_10"/>
      <w:bookmarkEnd w:id="36"/>
      <w:bookmarkEnd w:id="37"/>
      <w:r>
        <w:rPr>
          <w:rFonts w:ascii="Times New Roman" w:hAnsi="Times New Roman"/>
          <w:b/>
          <w:color w:val="000000"/>
          <w:sz w:val="22"/>
        </w:rPr>
        <w:t>Exhibit 10.10</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Vera Therapeutics, Inc.</w:t>
      </w:r>
    </w:p>
    <w:p>
      <w:pPr>
        <w:pStyle w:val="TextBody"/>
        <w:bidi w:val="0"/>
        <w:jc w:val="center"/>
        <w:rPr>
          <w:rFonts w:ascii="Times New Roman" w:hAnsi="Times New Roman"/>
          <w:sz w:val="20"/>
        </w:rPr>
      </w:pPr>
      <w:r>
        <w:rPr>
          <w:rFonts w:ascii="Times New Roman" w:hAnsi="Times New Roman"/>
          <w:b/>
          <w:smallCaps/>
          <w:color w:val="000000"/>
          <w:sz w:val="24"/>
        </w:rPr>
        <w:t>Non-Employee Director Compensation Policy</w:t>
      </w:r>
      <w:r>
        <w:rPr>
          <w:rFonts w:ascii="Times New Roman" w:hAnsi="Times New Roman"/>
          <w:smallCaps/>
          <w:color w:val="000000"/>
          <w:sz w:val="20"/>
        </w:rPr>
        <w:t xml:space="preserve">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Amended and Restated Effective January 1, 2026</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Vera Therapeutics,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Eligible Director</w:t>
      </w:r>
      <w:r>
        <w:rPr>
          <w:rFonts w:ascii="Times New Roman" w:hAnsi="Times New Roman"/>
          <w:color w:val="000000"/>
          <w:sz w:val="20"/>
        </w:rPr>
        <w:t>”</w:t>
      </w:r>
      <w:r>
        <w:rPr>
          <w:rFonts w:ascii="Times New Roman" w:hAnsi="Times New Roman"/>
          <w:color w:val="000000"/>
          <w:sz w:val="22"/>
        </w:rPr>
        <w:t>) will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An Eligible Director may decline all or any portion of his or her compensation by giving notice to the Company prior to the date cash is to be paid or equity awards are to be granted, as the case may be. This Policy shall be effective as of the date set forth above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rFonts w:ascii="Times New Roman" w:hAnsi="Times New Roman"/>
          <w:sz w:val="20"/>
        </w:rPr>
      </w:pPr>
      <w:r>
        <w:rPr>
          <w:rFonts w:ascii="Times New Roman" w:hAnsi="Times New Roman"/>
          <w:color w:val="000000"/>
          <w:sz w:val="22"/>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2"/>
          <w:u w:val="single"/>
        </w:rPr>
        <w:t>Annual Board Service Retainer</w:t>
      </w:r>
      <w:r>
        <w:rPr>
          <w:rFonts w:ascii="Times New Roman" w:hAnsi="Times New Roman"/>
          <w:color w:val="000000"/>
          <w:sz w:val="22"/>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All Eligible Directors: $45,000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2"/>
        </w:rPr>
      </w:pPr>
      <w:r>
        <w:rPr>
          <w:rFonts w:ascii="Times New Roman" w:hAnsi="Times New Roman"/>
          <w:color w:val="000000"/>
          <w:sz w:val="22"/>
        </w:rPr>
        <w:t>Non-executive chairperson of the Board: $75,000 (inclusive of Annual Board Service Retainer)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pPr>
      <w:r>
        <w:rPr>
          <w:rFonts w:ascii="Times New Roman" w:hAnsi="Times New Roman"/>
          <w:color w:val="000000"/>
          <w:sz w:val="22"/>
          <w:u w:val="single"/>
        </w:rPr>
        <w:t>Annual Committee Member (non-Chair) Service Retainer</w:t>
      </w:r>
      <w:r>
        <w:rPr>
          <w:rFonts w:ascii="Times New Roman" w:hAnsi="Times New Roman"/>
          <w:color w:val="000000"/>
          <w:sz w:val="22"/>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$10,000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$7,500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$5,000</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pPr>
      <w:r>
        <w:rPr>
          <w:rFonts w:ascii="Times New Roman" w:hAnsi="Times New Roman"/>
          <w:color w:val="000000"/>
          <w:sz w:val="22"/>
          <w:u w:val="single"/>
        </w:rPr>
        <w:t>Annual Committee Chair Service Retainer (inclusive of Committee Member Service Retainer)</w:t>
      </w:r>
      <w:r>
        <w:rPr>
          <w:rFonts w:ascii="Times New Roman" w:hAnsi="Times New Roman"/>
          <w:color w:val="000000"/>
          <w:sz w:val="22"/>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$20,000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$15,000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$10,000</w:t>
      </w:r>
    </w:p>
    <w:p>
      <w:pPr>
        <w:pStyle w:val="TextBody"/>
        <w:bidi w:val="0"/>
        <w:jc w:val="both"/>
        <w:rPr>
          <w:rFonts w:ascii="Times New Roman" w:hAnsi="Times New Roman"/>
          <w:sz w:val="20"/>
        </w:rPr>
      </w:pPr>
      <w:r>
        <w:rPr>
          <w:rFonts w:ascii="Times New Roman" w:hAnsi="Times New Roman"/>
          <w:color w:val="000000"/>
          <w:sz w:val="22"/>
        </w:rPr>
        <w:t>The Company will also reimburse each of the Eligible Directors for his or her travel expenses incurred in connection with his or her attendance at Board and committee meetings. Such reimbursements shall be paid on the same date as the annual cash fees are paid.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rFonts w:ascii="Times New Roman" w:hAnsi="Times New Roman"/>
          <w:sz w:val="20"/>
        </w:rPr>
      </w:pPr>
      <w:r>
        <w:rPr>
          <w:rFonts w:ascii="Times New Roman" w:hAnsi="Times New Roman"/>
          <w:color w:val="000000"/>
          <w:sz w:val="22"/>
        </w:rPr>
        <w:t>The equity compensation set forth below will be granted under the Company’s 2021 Equity Incentive Plan, as the same may be amended or restated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Capitalized terms used below not otherwise defined in this Policy shall have the meanings given to them in the Plan. All stock options granted under this Policy will be nonstatutory stock options, with an exercise price per share equal to 100% of the Fair Market Value (as defined in the Plan) of the underlying common stock on the date of grant, a term of 10 years from the date of grant (subject to earlier termination in connection with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2"/>
        </w:rPr>
        <w:t>termination of service as provided in the Plan), and subject to all the terms, conditions and limits set forth in the Plan and the applicable award agreement. For the avoidance of doubt, the share numbers in this Policy shall be subject to adjustment as provided in the Plan.</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2"/>
          <w:u w:val="single"/>
        </w:rPr>
        <w:t>Initial Grant</w:t>
      </w:r>
      <w:r>
        <w:rPr>
          <w:rFonts w:ascii="Times New Roman" w:hAnsi="Times New Roman"/>
          <w:color w:val="000000"/>
          <w:sz w:val="22"/>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the lesser of (i) 32,000 shares (as adjusted for stock splits, combinations and the like) of the Company’s common stock and (ii) the maximum number of shares of our common stock that would result in the option having a grant-date fair value of not more than $700,000 (the “</w:t>
      </w:r>
      <w:r>
        <w:rPr>
          <w:rFonts w:ascii="Times New Roman" w:hAnsi="Times New Roman"/>
          <w:b/>
          <w:i/>
          <w:color w:val="000000"/>
          <w:sz w:val="22"/>
        </w:rPr>
        <w:t>Initial Grant</w:t>
      </w:r>
      <w:r>
        <w:rPr>
          <w:color w:val="000000"/>
        </w:rPr>
        <w:t>”</w:t>
      </w:r>
      <w:r>
        <w:rPr>
          <w:rFonts w:ascii="Times New Roman" w:hAnsi="Times New Roman"/>
          <w:color w:val="000000"/>
          <w:sz w:val="22"/>
        </w:rPr>
        <w:t xml:space="preserve">). The shares subject to each such stock option will vest monthly over a three-year period, subject to the Eligible Director’s Continuous Service on each vesting date, and will vest in full upon a Change in Control, subject to the Eligible Director’s Continuous Service through such date.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2"/>
          <w:u w:val="single"/>
        </w:rPr>
        <w:t>Annual Grant</w:t>
      </w:r>
      <w:r>
        <w:rPr>
          <w:rFonts w:ascii="Times New Roman" w:hAnsi="Times New Roman"/>
          <w:color w:val="000000"/>
          <w:sz w:val="22"/>
        </w:rPr>
        <w:t>: On the date of each annual stockholders meeting of the Company, each Eligible Director who continues to serve as a member of the Board through and following such stockholders meeting (and who joined the Board no later than February 28 of the year in which the stockholders meeting is held) will be automatically, and without further action by the Board or Compensation Committee of the Board, granted a stock option to purchase the lesser of (i) 18,000 shares (as adjusted for stock splits, combinations and the like) of the Company’s common stock and (ii) the maximum number of shares of our common stock that would result in the option having a grant-date fair value of not more than $400,000 (the “</w:t>
      </w:r>
      <w:r>
        <w:rPr>
          <w:rFonts w:ascii="Times New Roman" w:hAnsi="Times New Roman"/>
          <w:b/>
          <w:i/>
          <w:color w:val="000000"/>
          <w:sz w:val="22"/>
        </w:rPr>
        <w:t>Annual Grant</w:t>
      </w:r>
      <w:r>
        <w:rPr>
          <w:color w:val="000000"/>
        </w:rPr>
        <w:t>”</w:t>
      </w:r>
      <w:r>
        <w:rPr>
          <w:rFonts w:ascii="Times New Roman" w:hAnsi="Times New Roman"/>
          <w:color w:val="000000"/>
          <w:sz w:val="22"/>
        </w:rPr>
        <w:t>). The shares subject to each such stock option will vest on the earlier of (a) the first anniversary of the date of grant and (b) the date of the Company’s next annual stockholders meeting, subject to the Eligible Director’s Continuous Service through such date. Such option will vest in full upon a Change in Control, subject to the Eligible Director’s Continuous Service through such date.</w:t>
      </w:r>
    </w:p>
    <w:p>
      <w:pPr>
        <w:pStyle w:val="TextBody"/>
        <w:bidi w:val="0"/>
        <w:jc w:val="both"/>
        <w:rPr>
          <w:rFonts w:ascii="Times New Roman" w:hAnsi="Times New Roman"/>
          <w:b/>
          <w:color w:val="000000"/>
          <w:sz w:val="22"/>
        </w:rPr>
      </w:pPr>
      <w:r>
        <w:rPr>
          <w:rFonts w:ascii="Times New Roman" w:hAnsi="Times New Roman"/>
          <w:b/>
          <w:color w:val="000000"/>
          <w:sz w:val="22"/>
        </w:rPr>
        <w:t>Compensation Limits</w:t>
      </w:r>
    </w:p>
    <w:p>
      <w:pPr>
        <w:pStyle w:val="TextBody"/>
        <w:bidi w:val="0"/>
        <w:jc w:val="both"/>
        <w:rPr>
          <w:rFonts w:ascii="Times New Roman" w:hAnsi="Times New Roman"/>
          <w:sz w:val="20"/>
        </w:rPr>
      </w:pPr>
      <w:r>
        <w:rPr>
          <w:rFonts w:ascii="Times New Roman" w:hAnsi="Times New Roman"/>
          <w:color w:val="000000"/>
          <w:sz w:val="22"/>
        </w:rPr>
        <w:t>Notwithstanding anything to the contrary in this Policy, all compensation payable under this Policy will be subject to any limits on the maximum amount of Eligible Director compensation set forth in the Plan, as in effect from time to time.</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Approved by the Board: December 16, 2025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8" w:name="vera-ex23_1.htm"/>
      <w:bookmarkStart w:id="39" w:name="ksveraex23_1"/>
      <w:bookmarkEnd w:id="38"/>
      <w:bookmarkEnd w:id="39"/>
      <w:r>
        <w:rPr>
          <w:rFonts w:ascii="Times New Roman" w:hAnsi="Times New Roman"/>
          <w:b/>
          <w:smallCaps/>
          <w:color w:val="000000"/>
          <w:sz w:val="20"/>
        </w:rPr>
        <w:t>Exhibit</w:t>
      </w:r>
      <w:r>
        <w:rPr>
          <w:rFonts w:ascii="Times New Roman" w:hAnsi="Times New Roman"/>
          <w:color w:val="000000"/>
          <w:sz w:val="20"/>
        </w:rPr>
        <w:t xml:space="preserve"> </w:t>
      </w:r>
      <w:r>
        <w:rPr>
          <w:rFonts w:ascii="Times New Roman" w:hAnsi="Times New Roman"/>
          <w:b/>
          <w:color w:val="000000"/>
          <w:sz w:val="20"/>
        </w:rPr>
        <w:t>23.1</w:t>
      </w:r>
      <w:r>
        <w:br w:type="page"/>
      </w:r>
    </w:p>
    <w:p>
      <w:pPr>
        <w:pStyle w:val="TextBody"/>
        <w:bidi w:val="0"/>
        <w:spacing w:before="0" w:after="2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incorporation by reference in the registration statements (No. 333-265408, 333-276761 and 333-282861) on Form S-3 and (No. 333-256269, 333-263899, 333-270911, 333-278277, and 333-285445) on Form S-8 of our report dated February 26, 2026, with respect to the financial statements of Vera Therapeutics, Inc. and the effectiveness of internal control over financial reporting.</w:t>
      </w:r>
    </w:p>
    <w:p>
      <w:pPr>
        <w:pStyle w:val="TextBody"/>
        <w:bidi w:val="0"/>
        <w:spacing w:before="0" w:after="200"/>
        <w:jc w:val="center"/>
        <w:rPr>
          <w:rFonts w:ascii="Arial" w:hAnsi="Arial"/>
          <w:color w:val="000000"/>
          <w:sz w:val="20"/>
        </w:rPr>
      </w:pPr>
      <w:r>
        <w:rPr>
          <w:rFonts w:ascii="Arial" w:hAnsi="Arial"/>
          <w:color w:val="000000"/>
          <w:sz w:val="20"/>
        </w:rPr>
        <w:t>/s/ KPMG LLP</w:t>
      </w:r>
    </w:p>
    <w:p>
      <w:pPr>
        <w:pStyle w:val="TextBody"/>
        <w:bidi w:val="0"/>
        <w:spacing w:before="0" w:after="200"/>
        <w:jc w:val="left"/>
        <w:rPr>
          <w:rFonts w:ascii="Arial" w:hAnsi="Arial"/>
          <w:color w:val="000000"/>
          <w:sz w:val="20"/>
        </w:rPr>
      </w:pPr>
      <w:r>
        <w:rPr>
          <w:rFonts w:ascii="Arial" w:hAnsi="Arial"/>
          <w:color w:val="000000"/>
          <w:sz w:val="20"/>
        </w:rPr>
        <w:t>San Francisco, California</w:t>
        <w:br/>
        <w:t>February 26,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vera-ex31_1.htm"/>
      <w:bookmarkStart w:id="41" w:name="ksveraex31_1"/>
      <w:bookmarkEnd w:id="40"/>
      <w:bookmarkEnd w:id="41"/>
      <w:r>
        <w:rPr/>
        <w:t> </w:t>
      </w:r>
      <w:r>
        <w:br w:type="page"/>
      </w:r>
    </w:p>
    <w:p>
      <w:pPr>
        <w:pStyle w:val="TextBody"/>
        <w:bidi w:val="0"/>
        <w:jc w:val="right"/>
        <w:rPr>
          <w:rFonts w:ascii="Times New Roman" w:hAnsi="Times New Roman"/>
          <w:sz w:val="20"/>
        </w:rPr>
      </w:pPr>
      <w:r>
        <w:rPr>
          <w:rFonts w:ascii="Times New Roman" w:hAnsi="Times New Roman"/>
          <w:b/>
          <w:smallCaps/>
          <w:color w:val="000000"/>
          <w:sz w:val="20"/>
        </w:rPr>
        <w:t>Exhibit</w:t>
      </w:r>
      <w:r>
        <w:rPr>
          <w:rFonts w:ascii="Times New Roman" w:hAnsi="Times New Roman"/>
          <w:color w:val="000000"/>
          <w:sz w:val="20"/>
        </w:rPr>
        <w:t xml:space="preserve"> </w:t>
      </w:r>
      <w:r>
        <w:rPr>
          <w:rFonts w:ascii="Times New Roman" w:hAnsi="Times New Roman"/>
          <w:b/>
          <w:color w:val="000000"/>
          <w:sz w:val="20"/>
        </w:rPr>
        <w:t>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Marshall Fordyce,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Vera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77" w:type="dxa"/>
        <w:jc w:val="left"/>
        <w:tblInd w:w="0" w:type="dxa"/>
        <w:tblLayout w:type="fixed"/>
        <w:tblCellMar>
          <w:top w:w="28" w:type="dxa"/>
          <w:left w:w="28" w:type="dxa"/>
          <w:bottom w:w="28" w:type="dxa"/>
          <w:right w:w="28" w:type="dxa"/>
        </w:tblCellMar>
      </w:tblPr>
      <w:tblGrid>
        <w:gridCol w:w="2086"/>
        <w:gridCol w:w="109"/>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Marshall Fordyce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 Fordyce, M.D.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vera-ex31_2.htm"/>
      <w:bookmarkStart w:id="43" w:name="ksveraex31_2"/>
      <w:bookmarkEnd w:id="42"/>
      <w:bookmarkEnd w:id="43"/>
      <w:r>
        <w:rPr/>
        <w:t> </w:t>
      </w:r>
      <w:r>
        <w:br w:type="page"/>
      </w:r>
    </w:p>
    <w:p>
      <w:pPr>
        <w:pStyle w:val="TextBody"/>
        <w:bidi w:val="0"/>
        <w:jc w:val="right"/>
        <w:rPr>
          <w:rFonts w:ascii="Times New Roman" w:hAnsi="Times New Roman"/>
          <w:sz w:val="20"/>
        </w:rPr>
      </w:pPr>
      <w:r>
        <w:rPr>
          <w:rFonts w:ascii="Times New Roman" w:hAnsi="Times New Roman"/>
          <w:b/>
          <w:smallCaps/>
          <w:color w:val="000000"/>
          <w:sz w:val="20"/>
        </w:rPr>
        <w:t>Exhibit</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Sean Grant,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Vera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17" w:type="dxa"/>
        <w:jc w:val="left"/>
        <w:tblInd w:w="0" w:type="dxa"/>
        <w:tblLayout w:type="fixed"/>
        <w:tblCellMar>
          <w:top w:w="28" w:type="dxa"/>
          <w:left w:w="28" w:type="dxa"/>
          <w:bottom w:w="28" w:type="dxa"/>
          <w:right w:w="28" w:type="dxa"/>
        </w:tblCellMar>
      </w:tblPr>
      <w:tblGrid>
        <w:gridCol w:w="2086"/>
        <w:gridCol w:w="109"/>
        <w:gridCol w:w="406"/>
        <w:gridCol w:w="241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Grant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Grant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vera-ex32_1.htm"/>
      <w:bookmarkStart w:id="45" w:name="ksveraex32_1"/>
      <w:bookmarkEnd w:id="44"/>
      <w:bookmarkEnd w:id="45"/>
      <w:r>
        <w:rPr/>
        <w:t> </w:t>
      </w:r>
      <w:r>
        <w:br w:type="page"/>
      </w:r>
    </w:p>
    <w:p>
      <w:pPr>
        <w:pStyle w:val="TextBody"/>
        <w:bidi w:val="0"/>
        <w:jc w:val="right"/>
        <w:rPr>
          <w:rFonts w:ascii="Times New Roman" w:hAnsi="Times New Roman"/>
          <w:sz w:val="20"/>
        </w:rPr>
      </w:pPr>
      <w:r>
        <w:rPr>
          <w:rFonts w:ascii="Times New Roman" w:hAnsi="Times New Roman"/>
          <w:b/>
          <w:smallCaps/>
          <w:color w:val="000000"/>
          <w:sz w:val="20"/>
        </w:rPr>
        <w:t>Exhibit</w:t>
      </w:r>
      <w:r>
        <w:rPr>
          <w:rFonts w:ascii="Times New Roman" w:hAnsi="Times New Roman"/>
          <w:color w:val="000000"/>
          <w:sz w:val="20"/>
        </w:rPr>
        <w:t xml:space="preserve"> </w:t>
      </w:r>
      <w:r>
        <w:rPr>
          <w:rFonts w:ascii="Times New Roman" w:hAnsi="Times New Roman"/>
          <w:b/>
          <w:color w:val="000000"/>
          <w:sz w:val="20"/>
        </w:rPr>
        <w:t>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Vera Therapeutics, Inc. (the “Company”) on Form 10-K for the year ended December 31, 2025, as filed with the Securities and Exchange Commission on the date hereof (the “Report”), I certify, pursuant to 18 U.S.C. § 1350, as adopted pursuant to § 906 of the Sarbanes-Oxley Act of 2002, that to the best of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197" w:type="dxa"/>
        <w:jc w:val="left"/>
        <w:tblInd w:w="0" w:type="dxa"/>
        <w:tblLayout w:type="fixed"/>
        <w:tblCellMar>
          <w:top w:w="28" w:type="dxa"/>
          <w:left w:w="28" w:type="dxa"/>
          <w:bottom w:w="28" w:type="dxa"/>
          <w:right w:w="28" w:type="dxa"/>
        </w:tblCellMar>
      </w:tblPr>
      <w:tblGrid>
        <w:gridCol w:w="2086"/>
        <w:gridCol w:w="109"/>
        <w:gridCol w:w="406"/>
        <w:gridCol w:w="259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Marshall Fordyce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Marshall Fordyce, M.D.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vera-ex32_2.htm"/>
      <w:bookmarkStart w:id="47" w:name="ksveraex32_2"/>
      <w:bookmarkEnd w:id="46"/>
      <w:bookmarkEnd w:id="47"/>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smallCaps/>
          <w:color w:val="000000"/>
          <w:sz w:val="20"/>
        </w:rPr>
        <w:t>Exhibit</w:t>
      </w:r>
      <w:r>
        <w:rPr>
          <w:rFonts w:ascii="Times New Roman" w:hAnsi="Times New Roman"/>
          <w:color w:val="000000"/>
          <w:sz w:val="20"/>
        </w:rPr>
        <w:t xml:space="preserve"> </w:t>
      </w:r>
      <w:r>
        <w:rPr>
          <w:rFonts w:ascii="Times New Roman" w:hAnsi="Times New Roman"/>
          <w:b/>
          <w:color w:val="000000"/>
          <w:sz w:val="20"/>
        </w:rPr>
        <w:t>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Vera Therapeutics, Inc. (the “Company”) on Form 10-K for the year ended December 31, 2025 as filed with the Securities and Exchange Commission on the date hereof (the “Report”), I certify, pursuant to 18 U.S.C. § 1350, as adopted pursuant to § 906 of the Sarbanes-Oxley Act of 2002, that to the best of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167" w:type="dxa"/>
        <w:jc w:val="left"/>
        <w:tblInd w:w="0" w:type="dxa"/>
        <w:tblLayout w:type="fixed"/>
        <w:tblCellMar>
          <w:top w:w="28" w:type="dxa"/>
          <w:left w:w="28" w:type="dxa"/>
          <w:bottom w:w="28" w:type="dxa"/>
          <w:right w:w="28" w:type="dxa"/>
        </w:tblCellMar>
      </w:tblPr>
      <w:tblGrid>
        <w:gridCol w:w="2086"/>
        <w:gridCol w:w="109"/>
        <w:gridCol w:w="406"/>
        <w:gridCol w:w="25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Sean Grant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Grant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hyperlink" Target="https://www.sec.gov/Archives/edgar/data/1831828/000119312522029746/d210084dex1015.htm" TargetMode="External"/><Relationship Id="rId19" Type="http://schemas.openxmlformats.org/officeDocument/2006/relationships/hyperlink" Target="https://www.sec.gov/Archives/edgar/data/1831828/000119312521165336/d141137dex31.htm" TargetMode="External"/><Relationship Id="rId20" Type="http://schemas.openxmlformats.org/officeDocument/2006/relationships/hyperlink" Target="https://www.sec.gov/Archives/edgar/data/1831828/000119312521165336/d141137dex31.htm" TargetMode="External"/><Relationship Id="rId21" Type="http://schemas.openxmlformats.org/officeDocument/2006/relationships/hyperlink" Target="https://www.sec.gov/Archives/edgar/data/1831828/000119312521165336/d141137dex32.htm" TargetMode="External"/><Relationship Id="rId22" Type="http://schemas.openxmlformats.org/officeDocument/2006/relationships/hyperlink" Target="https://www.sec.gov/Archives/edgar/data/1831828/000119312521155556/d96328dex41.htm" TargetMode="External"/><Relationship Id="rId23" Type="http://schemas.openxmlformats.org/officeDocument/2006/relationships/hyperlink" Target="https://www.sec.gov/Archives/edgar/data/1831828/000119312521155556/d96328dex41.htm" TargetMode="External"/><Relationship Id="rId24" Type="http://schemas.openxmlformats.org/officeDocument/2006/relationships/hyperlink" Target="https://www.sec.gov/Archives/edgar/data/1831828/000119312521129272/d96328dex42.htm" TargetMode="External"/><Relationship Id="rId25" Type="http://schemas.openxmlformats.org/officeDocument/2006/relationships/hyperlink" Target="https://www.sec.gov/Archives/edgar/data/1831828/000119312521129272/d96328dex42.htm" TargetMode="External"/><Relationship Id="rId26" Type="http://schemas.openxmlformats.org/officeDocument/2006/relationships/hyperlink" Target="https://www.sec.gov/Archives/edgar/data/0001831828/000095017024036729/vera-ex4_3.htm" TargetMode="External"/><Relationship Id="rId27" Type="http://schemas.openxmlformats.org/officeDocument/2006/relationships/hyperlink" Target="https://www.sec.gov/Archives/edgar/data/1831828/000119312521129272/d96328dex101.htm" TargetMode="External"/><Relationship Id="rId28" Type="http://schemas.openxmlformats.org/officeDocument/2006/relationships/hyperlink" Target="https://www.sec.gov/Archives/edgar/data/1831828/000119312521129272/d96328dex102.htm" TargetMode="External"/><Relationship Id="rId29" Type="http://schemas.openxmlformats.org/officeDocument/2006/relationships/hyperlink" Target="https://www.sec.gov/Archives/edgar/data/1831828/000119312521155556/d96328dex103.htm" TargetMode="External"/><Relationship Id="rId30" Type="http://schemas.openxmlformats.org/officeDocument/2006/relationships/hyperlink" Target="https://www.sec.gov/Archives/edgar/data/1831828/000119312521155556/d96328dex104.htm" TargetMode="External"/><Relationship Id="rId31" Type="http://schemas.openxmlformats.org/officeDocument/2006/relationships/hyperlink" Target="https://www.sec.gov/Archives/edgar/data/1831828/000119312521155556/d96328dex105.htm" TargetMode="External"/><Relationship Id="rId32" Type="http://schemas.openxmlformats.org/officeDocument/2006/relationships/hyperlink" Target="https://www.sec.gov/Archives/edgar/data/1831828/000119312521155556/d96328dex106.htm" TargetMode="External"/><Relationship Id="rId33" Type="http://schemas.openxmlformats.org/officeDocument/2006/relationships/hyperlink" Target="https://www.sec.gov/Archives/edgar/data/1831828/000119312525266881/vera-ex10_1.htm" TargetMode="External"/><Relationship Id="rId34" Type="http://schemas.openxmlformats.org/officeDocument/2006/relationships/hyperlink" Target="https://www.sec.gov/Archives/edgar/data/1831828/000095017024036729/vera-ex10_8.htm" TargetMode="External"/><Relationship Id="rId35" Type="http://schemas.openxmlformats.org/officeDocument/2006/relationships/hyperlink" Target="https://www.sec.gov/Archives/edgar/data/1831828/000095017024036729/vera-ex10_9.htm" TargetMode="External"/><Relationship Id="rId36" Type="http://schemas.openxmlformats.org/officeDocument/2006/relationships/hyperlink" Target="https://www.sec.gov/Archives/edgar/data/1831828/000119312521155556/d96328dex108.htm" TargetMode="External"/><Relationship Id="rId37" Type="http://schemas.openxmlformats.org/officeDocument/2006/relationships/hyperlink" Target="https://www.sec.gov/Archives/edgar/data/1831828/000119312521155556/d96328dex109.htm" TargetMode="External"/><Relationship Id="rId38" Type="http://schemas.openxmlformats.org/officeDocument/2006/relationships/hyperlink" Target="https://www.sec.gov/Archives/edgar/data/1831828/000119312521215234/d185242dex101.htm" TargetMode="External"/><Relationship Id="rId39" Type="http://schemas.openxmlformats.org/officeDocument/2006/relationships/hyperlink" Target="https://www.sec.gov/Archives/edgar/data/1831828/000119312521129272/d96328dex1015.htm" TargetMode="External"/><Relationship Id="rId40" Type="http://schemas.openxmlformats.org/officeDocument/2006/relationships/hyperlink" Target="https://www.sec.gov/Archives/edgar/data/1831828/000119312522029746/d210084dex1016.htm" TargetMode="External"/><Relationship Id="rId41" Type="http://schemas.openxmlformats.org/officeDocument/2006/relationships/hyperlink" Target="https://www.sec.gov/Archives/edgar/data/1831828/000119312522029746/d210084dex1017.htm" TargetMode="External"/><Relationship Id="rId42" Type="http://schemas.openxmlformats.org/officeDocument/2006/relationships/hyperlink" Target="https://www.sec.gov/Archives/edgar/data/1831828/000119312522241970/d265248dex101.htm" TargetMode="External"/><Relationship Id="rId43" Type="http://schemas.openxmlformats.org/officeDocument/2006/relationships/hyperlink" Target="https://www.sec.gov/Archives/edgar/data/1831828/000095017024094108/vera-ex10_1.htm" TargetMode="External"/><Relationship Id="rId44" Type="http://schemas.openxmlformats.org/officeDocument/2006/relationships/hyperlink" Target="https://www.sec.gov/Archives/edgar/data/1831828/000095017024057292/vera-ex10_2.htm" TargetMode="External"/><Relationship Id="rId45" Type="http://schemas.openxmlformats.org/officeDocument/2006/relationships/hyperlink" Target="https://www.sec.gov/Archives/edgar/data/1831828/000095017024057292/vera-ex10_3.htm" TargetMode="External"/><Relationship Id="rId46" Type="http://schemas.openxmlformats.org/officeDocument/2006/relationships/hyperlink" Target="https://www.sec.gov/Archives/edgar/data/1831828/000119312525133730/d869940dex101.htm" TargetMode="External"/><Relationship Id="rId47" Type="http://schemas.openxmlformats.org/officeDocument/2006/relationships/hyperlink" Target="https://www.sec.gov/Archives/edgar/data/1831828/000119312525173591/d42398dex11.htm" TargetMode="External"/><Relationship Id="rId48" Type="http://schemas.openxmlformats.org/officeDocument/2006/relationships/hyperlink" Target="https://www.sec.gov/Archives/edgar/data/1831828/000095017025029969/vera-ex19_1.htm" TargetMode="External"/><Relationship Id="rId49" Type="http://schemas.openxmlformats.org/officeDocument/2006/relationships/hyperlink" Target="https://www.sec.gov/Archives/edgar/data/0001831828/000095017024036729/vera-ex97_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105518</Words>
  <Characters>597379</Characters>
  <CharactersWithSpaces>702680</CharactersWithSpaces>
  <Paragraphs>7989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